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 WG1 #11</w:t>
      </w:r>
      <w:r>
        <w:rPr>
          <w:rFonts w:hint="eastAsia" w:ascii="Arial" w:hAnsi="Arial" w:eastAsia="宋体" w:cs="Arial"/>
          <w:b/>
          <w:bCs/>
          <w:sz w:val="22"/>
          <w:szCs w:val="22"/>
        </w:rPr>
        <w:t>3</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cs="Arial"/>
          <w:b/>
          <w:bCs/>
          <w:sz w:val="22"/>
          <w:szCs w:val="22"/>
        </w:rPr>
        <w:t>R1-230</w:t>
      </w:r>
      <w:r>
        <w:rPr>
          <w:rFonts w:hint="eastAsia" w:ascii="Arial" w:hAnsi="Arial" w:eastAsia="宋体" w:cs="Arial"/>
          <w:b/>
          <w:bCs/>
          <w:sz w:val="22"/>
          <w:szCs w:val="22"/>
        </w:rPr>
        <w:t>4533</w:t>
      </w:r>
      <w:r>
        <w:rPr>
          <w:rFonts w:ascii="Arial" w:hAnsi="Arial" w:cs="Arial"/>
          <w:b/>
          <w:bCs/>
          <w:sz w:val="22"/>
          <w:szCs w:val="22"/>
        </w:rPr>
        <w:t xml:space="preserve">                                                                                                                                                 </w:t>
      </w:r>
    </w:p>
    <w:p>
      <w:pPr>
        <w:spacing w:before="120" w:after="120"/>
        <w:ind w:left="1104" w:hanging="1101" w:hangingChars="500"/>
        <w:outlineLvl w:val="0"/>
        <w:rPr>
          <w:rFonts w:ascii="Arial" w:hAnsi="Arial" w:cs="Arial"/>
          <w:b/>
          <w:bCs/>
          <w:sz w:val="22"/>
          <w:szCs w:val="22"/>
          <w:lang w:eastAsia="ja-JP"/>
        </w:rPr>
      </w:pPr>
      <w:r>
        <w:rPr>
          <w:rFonts w:ascii="Arial" w:hAnsi="Arial" w:cs="Arial"/>
          <w:b/>
          <w:bCs/>
          <w:sz w:val="22"/>
          <w:szCs w:val="22"/>
          <w:lang w:eastAsia="ja-JP"/>
        </w:rPr>
        <w:t>Incheon, Korea, May 22</w:t>
      </w:r>
      <w:r>
        <w:rPr>
          <w:rFonts w:ascii="Arial" w:hAnsi="Arial" w:cs="Arial"/>
          <w:b/>
          <w:bCs/>
          <w:sz w:val="22"/>
          <w:szCs w:val="22"/>
          <w:vertAlign w:val="superscript"/>
          <w:lang w:eastAsia="ja-JP"/>
        </w:rPr>
        <w:t>nd</w:t>
      </w:r>
      <w:r>
        <w:rPr>
          <w:rFonts w:ascii="Arial" w:hAnsi="Arial" w:cs="Arial"/>
          <w:b/>
          <w:bCs/>
          <w:sz w:val="22"/>
          <w:szCs w:val="22"/>
          <w:lang w:eastAsia="ja-JP"/>
        </w:rPr>
        <w:t xml:space="preserve"> – May 26</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9.2.1</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general aspects of common AI PHY framework</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napToGrid w:val="0"/>
        <w:spacing w:before="72" w:beforeLines="30" w:after="72" w:afterLines="30" w:line="288" w:lineRule="auto"/>
        <w:rPr>
          <w:rFonts w:eastAsia="微软雅黑"/>
        </w:rPr>
      </w:pPr>
      <w:r>
        <w:rPr>
          <w:rFonts w:eastAsia="微软雅黑"/>
        </w:rPr>
        <w:t xml:space="preserve">In 3GPP TSG RAN#94e meeting, a new SID was approved to study AI/ML technologies over air interface [1]. Until now, a lot of terminologies related to AI/ML procedures have been comprehensively clarified. </w:t>
      </w:r>
      <w:r>
        <w:rPr>
          <w:rFonts w:hint="eastAsia" w:eastAsia="微软雅黑"/>
          <w:lang w:val="en-US" w:eastAsia="zh-CN"/>
        </w:rPr>
        <w:t>T</w:t>
      </w:r>
      <w:r>
        <w:rPr>
          <w:rFonts w:eastAsia="微软雅黑"/>
        </w:rPr>
        <w:t>he progress on collaboration levels, common KPIs</w:t>
      </w:r>
      <w:r>
        <w:rPr>
          <w:rFonts w:hint="eastAsia" w:eastAsia="微软雅黑"/>
        </w:rPr>
        <w:t>,</w:t>
      </w:r>
      <w:r>
        <w:rPr>
          <w:rFonts w:eastAsia="微软雅黑"/>
        </w:rPr>
        <w:t xml:space="preserve"> and high-level frameworks for LCM-related procedures also help with the overall discussion for AI/ML over air.</w:t>
      </w:r>
      <w:r>
        <w:rPr>
          <w:rFonts w:hint="eastAsia" w:eastAsia="微软雅黑"/>
        </w:rPr>
        <w:t xml:space="preserve"> In addition, RAN1#112</w:t>
      </w:r>
      <w:r>
        <w:rPr>
          <w:rFonts w:eastAsia="微软雅黑"/>
        </w:rPr>
        <w:t>bis-e</w:t>
      </w:r>
      <w:r>
        <w:rPr>
          <w:rFonts w:hint="eastAsia" w:eastAsia="微软雅黑"/>
        </w:rPr>
        <w:t xml:space="preserve"> meeting had intensive discussions to clarify the details of model and functionality identification. </w:t>
      </w:r>
    </w:p>
    <w:p>
      <w:pPr>
        <w:snapToGrid w:val="0"/>
        <w:spacing w:before="72" w:beforeLines="30" w:after="72" w:afterLines="30" w:line="288" w:lineRule="auto"/>
      </w:pPr>
      <w:r>
        <w:rPr>
          <w:rFonts w:eastAsia="微软雅黑"/>
        </w:rPr>
        <w:t>In this contribution, we provide our further views on the identified issues that should be discussed for general aspects.</w:t>
      </w:r>
    </w:p>
    <w:p>
      <w:pPr>
        <w:pStyle w:val="2"/>
        <w:spacing w:before="72" w:beforeLines="30" w:after="72" w:afterLines="30" w:line="288" w:lineRule="auto"/>
      </w:pPr>
      <w:r>
        <w:rPr>
          <w:rFonts w:hint="eastAsia"/>
        </w:rPr>
        <w:t>T</w:t>
      </w:r>
      <w:r>
        <w:t>erminologies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650" w:type="dxa"/>
          </w:tcPr>
          <w:p>
            <w:pPr>
              <w:widowControl w:val="0"/>
              <w:spacing w:before="120" w:after="120"/>
              <w:rPr>
                <w:rFonts w:eastAsia="等线"/>
                <w:b/>
                <w:bCs/>
                <w:u w:val="single"/>
              </w:rPr>
            </w:pPr>
            <w:r>
              <w:rPr>
                <w:rFonts w:hint="eastAsia" w:eastAsia="等线"/>
                <w:b/>
                <w:bCs/>
                <w:u w:val="single"/>
              </w:rPr>
              <w:t>W</w:t>
            </w:r>
            <w:r>
              <w:rPr>
                <w:rFonts w:eastAsia="等线"/>
                <w:b/>
                <w:bCs/>
                <w:u w:val="single"/>
              </w:rPr>
              <w:t>orking Assumption</w:t>
            </w:r>
            <w:r>
              <w:rPr>
                <w:rFonts w:hint="eastAsia" w:eastAsia="等线"/>
                <w:b/>
                <w:bCs/>
                <w:u w:val="single"/>
              </w:rPr>
              <w:t>:</w:t>
            </w:r>
          </w:p>
          <w:tbl>
            <w:tblPr>
              <w:tblStyle w:val="15"/>
              <w:tblW w:w="5000" w:type="pct"/>
              <w:tblInd w:w="0" w:type="dxa"/>
              <w:tblLayout w:type="autofit"/>
              <w:tblCellMar>
                <w:top w:w="0" w:type="dxa"/>
                <w:left w:w="0" w:type="dxa"/>
                <w:bottom w:w="0" w:type="dxa"/>
                <w:right w:w="0" w:type="dxa"/>
              </w:tblCellMar>
            </w:tblPr>
            <w:tblGrid>
              <w:gridCol w:w="2017"/>
              <w:gridCol w:w="7623"/>
            </w:tblGrid>
            <w:tr>
              <w:tblPrEx>
                <w:tblCellMar>
                  <w:top w:w="0" w:type="dxa"/>
                  <w:left w:w="0" w:type="dxa"/>
                  <w:bottom w:w="0" w:type="dxa"/>
                  <w:right w:w="0" w:type="dxa"/>
                </w:tblCellMar>
              </w:tblPrEx>
              <w:tc>
                <w:tcPr>
                  <w:tcW w:w="1046"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pPr>
                    <w:snapToGrid w:val="0"/>
                    <w:spacing w:before="72" w:beforeLines="30" w:after="72" w:afterLines="30" w:line="288" w:lineRule="auto"/>
                    <w:rPr>
                      <w:rFonts w:eastAsia="微软雅黑"/>
                    </w:rPr>
                  </w:pPr>
                  <w:r>
                    <w:rPr>
                      <w:rFonts w:eastAsia="微软雅黑"/>
                    </w:rPr>
                    <w:t>Model selection</w:t>
                  </w:r>
                </w:p>
              </w:tc>
              <w:tc>
                <w:tcPr>
                  <w:tcW w:w="3954"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snapToGrid w:val="0"/>
                    <w:spacing w:before="72" w:beforeLines="30" w:after="72" w:afterLines="30" w:line="288" w:lineRule="auto"/>
                    <w:rPr>
                      <w:rFonts w:eastAsia="微软雅黑"/>
                    </w:rPr>
                  </w:pPr>
                  <w:r>
                    <w:rPr>
                      <w:rFonts w:eastAsia="微软雅黑"/>
                    </w:rPr>
                    <w:t>The process of selecting an AI/ML model for activation among multiple models for</w:t>
                  </w:r>
                  <w:r>
                    <w:rPr>
                      <w:rFonts w:eastAsia="微软雅黑"/>
                      <w:b/>
                      <w:bCs/>
                      <w:u w:val="single"/>
                    </w:rPr>
                    <w:t xml:space="preserve"> the same AI/ML enabled feature</w:t>
                  </w:r>
                  <w:r>
                    <w:rPr>
                      <w:rFonts w:eastAsia="微软雅黑"/>
                    </w:rPr>
                    <w:t>.</w:t>
                  </w:r>
                </w:p>
                <w:p>
                  <w:pPr>
                    <w:snapToGrid w:val="0"/>
                    <w:spacing w:before="72" w:beforeLines="30" w:after="72" w:afterLines="30" w:line="288" w:lineRule="auto"/>
                    <w:rPr>
                      <w:rFonts w:eastAsia="微软雅黑"/>
                    </w:rPr>
                  </w:pPr>
                  <w:r>
                    <w:rPr>
                      <w:rFonts w:eastAsia="微软雅黑"/>
                    </w:rPr>
                    <w:t>Note: Model selection may or may not be carried out simultaneously with model activation</w:t>
                  </w:r>
                </w:p>
              </w:tc>
            </w:tr>
          </w:tbl>
          <w:p>
            <w:pPr>
              <w:widowControl w:val="0"/>
              <w:spacing w:before="120" w:after="120"/>
              <w:rPr>
                <w:rFonts w:eastAsiaTheme="minorEastAsia"/>
              </w:rPr>
            </w:pPr>
          </w:p>
        </w:tc>
      </w:tr>
    </w:tbl>
    <w:p>
      <w:pPr>
        <w:snapToGrid w:val="0"/>
        <w:spacing w:before="72" w:beforeLines="30" w:after="72" w:afterLines="30" w:line="288" w:lineRule="auto"/>
        <w:rPr>
          <w:rFonts w:eastAsia="微软雅黑"/>
          <w:kern w:val="0"/>
        </w:rPr>
      </w:pPr>
      <w:r>
        <w:rPr>
          <w:rFonts w:hint="eastAsia" w:eastAsia="微软雅黑"/>
          <w:kern w:val="0"/>
        </w:rPr>
        <w:t>After some clarifications on model/functionality identification, it</w:t>
      </w:r>
      <w:r>
        <w:rPr>
          <w:rFonts w:eastAsia="微软雅黑"/>
          <w:kern w:val="0"/>
        </w:rPr>
        <w:t>’</w:t>
      </w:r>
      <w:r>
        <w:rPr>
          <w:rFonts w:hint="eastAsia" w:eastAsia="微软雅黑"/>
          <w:kern w:val="0"/>
        </w:rPr>
        <w:t>s clear that either a functionality or a model should be defined under an AI/ML-enabled feature. In RAN</w:t>
      </w:r>
      <w:r>
        <w:rPr>
          <w:rFonts w:hint="eastAsia" w:eastAsia="微软雅黑"/>
        </w:rPr>
        <w:t>1#</w:t>
      </w:r>
      <w:r>
        <w:rPr>
          <w:rFonts w:hint="eastAsia" w:eastAsia="微软雅黑"/>
          <w:kern w:val="0"/>
        </w:rPr>
        <w:t>112bis-e meeting, we reached a new terminology for model selection. Therefore, it</w:t>
      </w:r>
      <w:r>
        <w:rPr>
          <w:rFonts w:eastAsia="微软雅黑"/>
          <w:kern w:val="0"/>
        </w:rPr>
        <w:t>’</w:t>
      </w:r>
      <w:r>
        <w:rPr>
          <w:rFonts w:hint="eastAsia" w:eastAsia="微软雅黑"/>
          <w:kern w:val="0"/>
        </w:rPr>
        <w:t>s better to revise the terminologies agreed for model activation, model deactivation</w:t>
      </w:r>
      <w:r>
        <w:rPr>
          <w:rFonts w:hint="eastAsia" w:eastAsia="微软雅黑"/>
          <w:kern w:val="0"/>
          <w:lang w:val="en-US" w:eastAsia="zh-CN"/>
        </w:rPr>
        <w:t>,</w:t>
      </w:r>
      <w:r>
        <w:rPr>
          <w:rFonts w:hint="eastAsia" w:eastAsia="微软雅黑"/>
          <w:kern w:val="0"/>
        </w:rPr>
        <w:t xml:space="preserve"> and model switching as the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2"/>
        <w:gridCol w:w="6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activation</w:t>
            </w:r>
          </w:p>
        </w:tc>
        <w:tc>
          <w:tcPr>
            <w:tcW w:w="6817" w:type="dxa"/>
            <w:tcBorders>
              <w:top w:val="single" w:color="auto" w:sz="4" w:space="0"/>
              <w:left w:val="nil"/>
              <w:bottom w:val="single" w:color="auto" w:sz="4" w:space="0"/>
              <w:right w:val="single" w:color="auto" w:sz="4" w:space="0"/>
            </w:tcBorders>
          </w:tcPr>
          <w:p>
            <w:pPr>
              <w:spacing w:before="120" w:after="120"/>
              <w:rPr>
                <w:rFonts w:eastAsia="宋体"/>
              </w:rPr>
            </w:pPr>
            <w:r>
              <w:t xml:space="preserve">enable an AI/ML model for a specific </w:t>
            </w:r>
            <w:r>
              <w:rPr>
                <w:strike/>
              </w:rPr>
              <w:t>function</w:t>
            </w:r>
            <w:r>
              <w:rPr>
                <w:rFonts w:hint="eastAsia" w:eastAsia="宋体"/>
              </w:rPr>
              <w:t xml:space="preserve"> </w:t>
            </w:r>
            <w:r>
              <w:rPr>
                <w:rFonts w:hint="eastAsia" w:eastAsia="宋体"/>
                <w:b/>
                <w:bCs/>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deactivation</w:t>
            </w:r>
          </w:p>
        </w:tc>
        <w:tc>
          <w:tcPr>
            <w:tcW w:w="6817" w:type="dxa"/>
            <w:tcBorders>
              <w:top w:val="single" w:color="auto" w:sz="4" w:space="0"/>
              <w:left w:val="nil"/>
              <w:bottom w:val="single" w:color="auto" w:sz="4" w:space="0"/>
              <w:right w:val="single" w:color="auto" w:sz="4" w:space="0"/>
            </w:tcBorders>
          </w:tcPr>
          <w:p>
            <w:pPr>
              <w:spacing w:before="120" w:after="120"/>
            </w:pPr>
            <w:r>
              <w:t xml:space="preserve">disable an AI/ML model for a specific </w:t>
            </w:r>
            <w:r>
              <w:rPr>
                <w:strike/>
              </w:rPr>
              <w:t>function</w:t>
            </w:r>
            <w:r>
              <w:rPr>
                <w:rFonts w:hint="eastAsia" w:eastAsia="宋体"/>
              </w:rPr>
              <w:t xml:space="preserve"> </w:t>
            </w:r>
            <w:r>
              <w:rPr>
                <w:rFonts w:hint="eastAsia" w:eastAsia="宋体"/>
                <w:b/>
                <w:bCs/>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switching</w:t>
            </w:r>
          </w:p>
        </w:tc>
        <w:tc>
          <w:tcPr>
            <w:tcW w:w="6817" w:type="dxa"/>
            <w:tcBorders>
              <w:top w:val="single" w:color="auto" w:sz="4" w:space="0"/>
              <w:left w:val="nil"/>
              <w:bottom w:val="single" w:color="auto" w:sz="4" w:space="0"/>
              <w:right w:val="single" w:color="auto" w:sz="4" w:space="0"/>
            </w:tcBorders>
          </w:tcPr>
          <w:p>
            <w:pPr>
              <w:spacing w:before="120" w:after="120"/>
            </w:pPr>
            <w:r>
              <w:t xml:space="preserve">Deactivating a currently active AI/ML model and activating a different AI/ML model for a specific </w:t>
            </w:r>
            <w:r>
              <w:rPr>
                <w:strike/>
              </w:rPr>
              <w:t>function</w:t>
            </w:r>
            <w:r>
              <w:rPr>
                <w:rFonts w:hint="eastAsia" w:eastAsia="宋体"/>
              </w:rPr>
              <w:t xml:space="preserve"> </w:t>
            </w:r>
            <w:r>
              <w:rPr>
                <w:rFonts w:hint="eastAsia" w:eastAsia="宋体"/>
                <w:b/>
                <w:bCs/>
              </w:rPr>
              <w:t>AI/ML-enabled feature</w:t>
            </w:r>
          </w:p>
        </w:tc>
      </w:tr>
    </w:tbl>
    <w:p>
      <w:pPr>
        <w:pStyle w:val="23"/>
        <w:spacing w:before="72" w:after="72"/>
        <w:rPr>
          <w:lang w:val="en-US"/>
        </w:rPr>
      </w:pPr>
      <w:bookmarkStart w:id="0" w:name="_Toc12514"/>
      <w:bookmarkStart w:id="1" w:name="_Toc31337"/>
      <w:bookmarkStart w:id="2" w:name="_Toc17902"/>
      <w:r>
        <w:rPr>
          <w:rFonts w:hint="eastAsia"/>
          <w:lang w:val="en-US"/>
        </w:rPr>
        <w:t>Revise the terminologies agreed for model activation, model deactivation</w:t>
      </w:r>
      <w:r>
        <w:rPr>
          <w:rFonts w:hint="eastAsia"/>
          <w:lang w:val="en-US" w:eastAsia="zh-CN"/>
        </w:rPr>
        <w:t>,</w:t>
      </w:r>
      <w:r>
        <w:rPr>
          <w:rFonts w:hint="eastAsia"/>
          <w:lang w:val="en-US"/>
        </w:rPr>
        <w:t xml:space="preserve"> and model switching</w:t>
      </w:r>
      <w:r>
        <w:rPr>
          <w:rFonts w:hint="eastAsia"/>
          <w:lang w:val="en-US" w:eastAsia="zh-CN"/>
        </w:rPr>
        <w:t xml:space="preserve"> as follows</w:t>
      </w:r>
      <w:r>
        <w:rPr>
          <w:rFonts w:hint="eastAsia"/>
          <w:lang w:val="en-US"/>
        </w:rPr>
        <w:t>,</w:t>
      </w:r>
      <w:bookmarkEnd w:id="0"/>
      <w:bookmarkEnd w:id="1"/>
      <w:bookmarkEnd w:id="2"/>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2"/>
        <w:gridCol w:w="6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activation</w:t>
            </w:r>
          </w:p>
        </w:tc>
        <w:tc>
          <w:tcPr>
            <w:tcW w:w="6817" w:type="dxa"/>
            <w:tcBorders>
              <w:top w:val="single" w:color="auto" w:sz="4" w:space="0"/>
              <w:left w:val="nil"/>
              <w:bottom w:val="single" w:color="auto" w:sz="4" w:space="0"/>
              <w:right w:val="single" w:color="auto" w:sz="4" w:space="0"/>
            </w:tcBorders>
          </w:tcPr>
          <w:p>
            <w:pPr>
              <w:spacing w:before="120" w:after="120"/>
              <w:rPr>
                <w:rFonts w:eastAsia="宋体"/>
              </w:rPr>
            </w:pPr>
            <w:r>
              <w:t xml:space="preserve">enable an AI/ML model for a specific </w:t>
            </w:r>
            <w:r>
              <w:rPr>
                <w:strike/>
              </w:rPr>
              <w:t>function</w:t>
            </w:r>
            <w:r>
              <w:rPr>
                <w:rFonts w:hint="eastAsia" w:eastAsia="宋体"/>
              </w:rPr>
              <w:t xml:space="preserve"> </w:t>
            </w:r>
            <w:r>
              <w:rPr>
                <w:rFonts w:hint="eastAsia" w:eastAsia="宋体"/>
                <w:b/>
                <w:bCs/>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deactivation</w:t>
            </w:r>
          </w:p>
        </w:tc>
        <w:tc>
          <w:tcPr>
            <w:tcW w:w="6817" w:type="dxa"/>
            <w:tcBorders>
              <w:top w:val="single" w:color="auto" w:sz="4" w:space="0"/>
              <w:left w:val="nil"/>
              <w:bottom w:val="single" w:color="auto" w:sz="4" w:space="0"/>
              <w:right w:val="single" w:color="auto" w:sz="4" w:space="0"/>
            </w:tcBorders>
          </w:tcPr>
          <w:p>
            <w:pPr>
              <w:spacing w:before="120" w:after="120"/>
            </w:pPr>
            <w:r>
              <w:t xml:space="preserve">disable an AI/ML model for a specific </w:t>
            </w:r>
            <w:r>
              <w:rPr>
                <w:strike/>
              </w:rPr>
              <w:t>function</w:t>
            </w:r>
            <w:r>
              <w:rPr>
                <w:rFonts w:hint="eastAsia" w:eastAsia="宋体"/>
              </w:rPr>
              <w:t xml:space="preserve"> </w:t>
            </w:r>
            <w:r>
              <w:rPr>
                <w:rFonts w:hint="eastAsia" w:eastAsia="宋体"/>
                <w:b/>
                <w:bCs/>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switching</w:t>
            </w:r>
          </w:p>
        </w:tc>
        <w:tc>
          <w:tcPr>
            <w:tcW w:w="6817" w:type="dxa"/>
            <w:tcBorders>
              <w:top w:val="single" w:color="auto" w:sz="4" w:space="0"/>
              <w:left w:val="nil"/>
              <w:bottom w:val="single" w:color="auto" w:sz="4" w:space="0"/>
              <w:right w:val="single" w:color="auto" w:sz="4" w:space="0"/>
            </w:tcBorders>
          </w:tcPr>
          <w:p>
            <w:pPr>
              <w:spacing w:before="120" w:after="120"/>
            </w:pPr>
            <w:r>
              <w:t xml:space="preserve">Deactivating a currently active AI/ML model and activating a different AI/ML model for a specific </w:t>
            </w:r>
            <w:r>
              <w:rPr>
                <w:strike/>
              </w:rPr>
              <w:t>function</w:t>
            </w:r>
            <w:r>
              <w:rPr>
                <w:rFonts w:hint="eastAsia" w:eastAsia="宋体"/>
              </w:rPr>
              <w:t xml:space="preserve"> </w:t>
            </w:r>
            <w:r>
              <w:rPr>
                <w:rFonts w:hint="eastAsia" w:eastAsia="宋体"/>
                <w:b/>
                <w:bCs/>
              </w:rPr>
              <w:t>AI/ML-enabled feature</w:t>
            </w:r>
          </w:p>
        </w:tc>
      </w:tr>
    </w:tbl>
    <w:p>
      <w:pPr>
        <w:pStyle w:val="2"/>
        <w:spacing w:before="72" w:beforeLines="30" w:after="72" w:afterLines="30" w:line="288" w:lineRule="auto"/>
      </w:pPr>
      <w:r>
        <w:t>Functional framework</w:t>
      </w:r>
    </w:p>
    <w:p>
      <w:pPr>
        <w:snapToGrid w:val="0"/>
        <w:spacing w:before="72" w:beforeLines="30" w:after="72" w:afterLines="30" w:line="288" w:lineRule="auto"/>
        <w:rPr>
          <w:rFonts w:eastAsia="微软雅黑"/>
          <w:kern w:val="0"/>
        </w:rPr>
      </w:pPr>
      <w:r>
        <w:rPr>
          <w:rFonts w:hint="eastAsia" w:eastAsia="微软雅黑"/>
          <w:kern w:val="0"/>
        </w:rPr>
        <w:t xml:space="preserve">In RAN1#112bis-e meeting, there were some general discussions on how to capture the functional framework. In our view, the intention to capture the functional framework is to give a general description of the relationship between different functions in TR. In addition, RAN2 agreed that </w:t>
      </w:r>
      <w:r>
        <w:rPr>
          <w:rFonts w:hint="eastAsia" w:eastAsia="微软雅黑"/>
          <w:kern w:val="0"/>
        </w:rPr>
        <w:tab/>
      </w:r>
      <w:r>
        <w:rPr>
          <w:rFonts w:hint="eastAsia" w:eastAsia="微软雅黑"/>
          <w:kern w:val="0"/>
        </w:rPr>
        <w:t>the general AI/ML framework consist</w:t>
      </w:r>
      <w:r>
        <w:rPr>
          <w:rFonts w:hint="eastAsia" w:eastAsia="微软雅黑"/>
          <w:kern w:val="0"/>
          <w:lang w:val="en-US" w:eastAsia="zh-CN"/>
        </w:rPr>
        <w:t>s</w:t>
      </w:r>
      <w:r>
        <w:rPr>
          <w:rFonts w:hint="eastAsia" w:eastAsia="微软雅黑"/>
          <w:kern w:val="0"/>
        </w:rPr>
        <w:t xml:space="preserve"> of (i) Data Collection, (ii) Model Training, (iii) Model Management, (iv) Model Inference, and (v) Model Storage, which is not a exhaustive list of the components in RAN1</w:t>
      </w:r>
      <w:r>
        <w:rPr>
          <w:rFonts w:hint="eastAsia" w:eastAsia="微软雅黑"/>
          <w:kern w:val="0"/>
          <w:lang w:val="en-US" w:eastAsia="zh-CN"/>
        </w:rPr>
        <w:t xml:space="preserve"> </w:t>
      </w:r>
      <w:r>
        <w:rPr>
          <w:rFonts w:hint="eastAsia" w:eastAsia="微软雅黑"/>
          <w:kern w:val="0"/>
        </w:rPr>
        <w:t xml:space="preserve">(e.g., performance monitoring is not included). In our view, the functional framework about the relationship between different functions should be discussed by RAN1. However, RAN1 should not discuss how the functions are mapped to actual entities. To our understanding, the entity mapping is under discussion in RAN2. </w:t>
      </w:r>
    </w:p>
    <w:p>
      <w:pPr>
        <w:pStyle w:val="23"/>
        <w:spacing w:before="72" w:after="72"/>
        <w:jc w:val="both"/>
        <w:rPr>
          <w:lang w:val="en-US"/>
        </w:rPr>
      </w:pPr>
      <w:bookmarkStart w:id="3" w:name="_Toc12922"/>
      <w:bookmarkStart w:id="4" w:name="_Toc17215"/>
      <w:bookmarkStart w:id="5" w:name="_Toc13826"/>
      <w:r>
        <w:rPr>
          <w:rFonts w:hint="eastAsia"/>
          <w:lang w:val="en-US"/>
        </w:rPr>
        <w:t>The functional framework about the relationship between different functions should be discussed in RAN1. The entity mapping for the functions in the functional framework can be further discussed by RAN2.</w:t>
      </w:r>
      <w:bookmarkEnd w:id="3"/>
      <w:bookmarkEnd w:id="4"/>
      <w:bookmarkEnd w:id="5"/>
    </w:p>
    <w:p>
      <w:pPr>
        <w:pStyle w:val="23"/>
        <w:spacing w:before="72" w:after="72"/>
        <w:jc w:val="both"/>
        <w:rPr>
          <w:lang w:val="en-US"/>
        </w:rPr>
      </w:pPr>
      <w:bookmarkStart w:id="6" w:name="_Toc22496"/>
      <w:bookmarkStart w:id="7" w:name="_Toc21236"/>
      <w:bookmarkStart w:id="8" w:name="_Toc18423"/>
      <w:r>
        <w:rPr>
          <w:rFonts w:hint="eastAsia"/>
          <w:lang w:val="en-US"/>
        </w:rPr>
        <w:t>Adopt the following functional framework as a starting point for further discussion:</w:t>
      </w:r>
      <w:bookmarkEnd w:id="6"/>
      <w:bookmarkEnd w:id="7"/>
      <w:bookmarkEnd w:id="8"/>
    </w:p>
    <w:p>
      <w:pPr>
        <w:spacing w:before="120" w:after="120"/>
        <w:jc w:val="center"/>
      </w:pPr>
      <w:r>
        <w:drawing>
          <wp:inline distT="0" distB="0" distL="114300" distR="114300">
            <wp:extent cx="5455920" cy="2567305"/>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5455920" cy="2567305"/>
                    </a:xfrm>
                    <a:prstGeom prst="rect">
                      <a:avLst/>
                    </a:prstGeom>
                    <a:noFill/>
                    <a:ln>
                      <a:noFill/>
                    </a:ln>
                  </pic:spPr>
                </pic:pic>
              </a:graphicData>
            </a:graphic>
          </wp:inline>
        </w:drawing>
      </w:r>
    </w:p>
    <w:p>
      <w:pPr>
        <w:spacing w:before="120" w:after="120"/>
        <w:jc w:val="center"/>
        <w:rPr>
          <w:rFonts w:eastAsia="宋体"/>
        </w:rPr>
      </w:pPr>
      <w:r>
        <w:rPr>
          <w:rFonts w:hint="eastAsia" w:eastAsia="宋体"/>
        </w:rPr>
        <w:t>Fig.1 Functional framework</w:t>
      </w:r>
    </w:p>
    <w:p>
      <w:pPr>
        <w:pStyle w:val="2"/>
        <w:spacing w:before="72" w:beforeLines="30" w:after="72" w:afterLines="30" w:line="288" w:lineRule="auto"/>
      </w:pPr>
      <w:r>
        <w:rPr>
          <w:rFonts w:hint="eastAsia"/>
        </w:rPr>
        <w:t>Model Life Cycle Management</w:t>
      </w:r>
    </w:p>
    <w:p>
      <w:pPr>
        <w:pStyle w:val="3"/>
        <w:spacing w:before="72" w:beforeLines="30" w:after="72" w:afterLines="30" w:line="288" w:lineRule="auto"/>
        <w:rPr>
          <w:rFonts w:ascii="Times New Roman" w:hAnsi="Times New Roman" w:eastAsia="宋体"/>
          <w:b/>
          <w:sz w:val="24"/>
        </w:rPr>
      </w:pPr>
      <w:r>
        <w:rPr>
          <w:rFonts w:hint="eastAsia"/>
        </w:rPr>
        <w:t>Data collection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等线"/>
                <w:b/>
                <w:bCs/>
                <w:kern w:val="0"/>
                <w:u w:val="single"/>
              </w:rPr>
            </w:pPr>
            <w:r>
              <w:rPr>
                <w:rFonts w:eastAsia="等线"/>
                <w:b/>
                <w:bCs/>
                <w:kern w:val="0"/>
                <w:u w:val="single"/>
                <w:lang w:val="en-GB" w:eastAsia="en-US"/>
              </w:rPr>
              <w:t>Conclusion</w:t>
            </w:r>
            <w:r>
              <w:rPr>
                <w:rFonts w:eastAsia="等线"/>
                <w:b/>
                <w:bCs/>
                <w:kern w:val="0"/>
                <w:u w:val="single"/>
              </w:rPr>
              <w:t xml:space="preserve"> in RAN1#110bis-e:</w:t>
            </w:r>
          </w:p>
          <w:p>
            <w:pPr>
              <w:spacing w:before="72" w:beforeLines="30" w:after="72" w:afterLines="30" w:line="288" w:lineRule="auto"/>
              <w:rPr>
                <w:rFonts w:eastAsia="宋体"/>
                <w:kern w:val="0"/>
                <w:lang w:val="en-GB" w:eastAsia="en-US"/>
              </w:rPr>
            </w:pPr>
            <w:r>
              <w:rPr>
                <w:rFonts w:eastAsia="宋体"/>
                <w:kern w:val="0"/>
                <w:lang w:val="en-GB" w:eastAsia="en-US"/>
              </w:rPr>
              <w:t>Data collection may be performed for different purposes in LCM, e.g., model training, model inference, model monitoring, model selection, model update, etc. each may be done with different requirements and potential specification impact.</w:t>
            </w:r>
          </w:p>
          <w:p>
            <w:pPr>
              <w:spacing w:before="72" w:beforeLines="30" w:after="72" w:afterLines="30" w:line="288" w:lineRule="auto"/>
              <w:rPr>
                <w:rFonts w:eastAsia="宋体"/>
                <w:kern w:val="0"/>
                <w:lang w:val="en-GB" w:eastAsia="en-US"/>
              </w:rPr>
            </w:pPr>
            <w:r>
              <w:rPr>
                <w:rFonts w:eastAsia="宋体"/>
                <w:kern w:val="0"/>
                <w:lang w:val="en-GB" w:eastAsia="en-US"/>
              </w:rPr>
              <w:t>FFS: Model selection refers to the selection of an AI/ML model among models for the same functionality. (Exact terminology to be discussed/defined)</w:t>
            </w:r>
          </w:p>
          <w:p>
            <w:pPr>
              <w:spacing w:before="72" w:beforeLines="30" w:after="72" w:afterLines="30" w:line="288" w:lineRule="auto"/>
              <w:rPr>
                <w:rFonts w:eastAsia="宋体"/>
                <w:kern w:val="0"/>
                <w:lang w:val="en-GB" w:eastAsia="en-US"/>
              </w:rPr>
            </w:pPr>
          </w:p>
          <w:p>
            <w:pPr>
              <w:pStyle w:val="5"/>
              <w:spacing w:before="72" w:beforeLines="30" w:after="72" w:afterLines="30" w:line="288" w:lineRule="auto"/>
              <w:rPr>
                <w:rFonts w:ascii="Times New Roman" w:hAnsi="Times New Roman" w:cs="Times New Roman"/>
                <w:color w:val="000000" w:themeColor="text1"/>
                <w:kern w:val="0"/>
                <w:sz w:val="20"/>
                <w:szCs w:val="20"/>
                <w:u w:val="single"/>
                <w14:textFill>
                  <w14:solidFill>
                    <w14:schemeClr w14:val="tx1"/>
                  </w14:solidFill>
                </w14:textFill>
              </w:rPr>
            </w:pPr>
            <w:r>
              <w:rPr>
                <w:rFonts w:ascii="Times New Roman" w:hAnsi="Times New Roman" w:cs="Times New Roman"/>
                <w:color w:val="000000" w:themeColor="text1"/>
                <w:sz w:val="20"/>
                <w:szCs w:val="20"/>
                <w:u w:val="single"/>
                <w14:textFill>
                  <w14:solidFill>
                    <w14:schemeClr w14:val="tx1"/>
                  </w14:solidFill>
                </w14:textFill>
              </w:rPr>
              <w:t>[FL6] Proposal 6-4f:</w:t>
            </w:r>
          </w:p>
          <w:p>
            <w:pPr>
              <w:autoSpaceDE w:val="0"/>
              <w:autoSpaceDN w:val="0"/>
              <w:adjustRightInd w:val="0"/>
              <w:snapToGrid w:val="0"/>
              <w:spacing w:before="72" w:beforeLines="30" w:after="72" w:afterLines="30" w:line="288" w:lineRule="auto"/>
              <w:jc w:val="left"/>
              <w:rPr>
                <w:rFonts w:eastAsia="宋体"/>
                <w:bCs/>
                <w:iCs/>
              </w:rPr>
            </w:pPr>
            <w:r>
              <w:rPr>
                <w:rFonts w:eastAsia="宋体"/>
                <w:bCs/>
                <w:kern w:val="0"/>
                <w:lang w:bidi="ar"/>
              </w:rPr>
              <w:t xml:space="preserve">Consider at least </w:t>
            </w:r>
            <w:r>
              <w:rPr>
                <w:rFonts w:eastAsia="宋体"/>
                <w:bCs/>
                <w:iCs/>
                <w:kern w:val="0"/>
                <w:lang w:bidi="ar"/>
              </w:rPr>
              <w:t>the following aspects and if applicable, the corresponding potential specification impact related to data collection:</w:t>
            </w:r>
          </w:p>
          <w:p>
            <w:pPr>
              <w:numPr>
                <w:ilvl w:val="0"/>
                <w:numId w:val="12"/>
              </w:numPr>
              <w:autoSpaceDE w:val="0"/>
              <w:autoSpaceDN w:val="0"/>
              <w:adjustRightInd w:val="0"/>
              <w:snapToGrid w:val="0"/>
              <w:spacing w:before="72" w:beforeLines="30" w:after="72" w:afterLines="30" w:line="288" w:lineRule="auto"/>
              <w:ind w:left="720"/>
              <w:jc w:val="left"/>
              <w:rPr>
                <w:rFonts w:eastAsia="宋体"/>
                <w:bCs/>
                <w:iCs/>
              </w:rPr>
            </w:pPr>
            <w:r>
              <w:rPr>
                <w:rFonts w:eastAsia="宋体"/>
                <w:bCs/>
                <w:iCs/>
                <w:kern w:val="0"/>
                <w:lang w:bidi="ar"/>
              </w:rPr>
              <w:t>Measurement configuration and reporting</w:t>
            </w:r>
          </w:p>
          <w:p>
            <w:pPr>
              <w:numPr>
                <w:ilvl w:val="0"/>
                <w:numId w:val="12"/>
              </w:numPr>
              <w:autoSpaceDE w:val="0"/>
              <w:autoSpaceDN w:val="0"/>
              <w:adjustRightInd w:val="0"/>
              <w:snapToGrid w:val="0"/>
              <w:spacing w:before="72" w:beforeLines="30" w:after="72" w:afterLines="30" w:line="288" w:lineRule="auto"/>
              <w:ind w:left="720"/>
              <w:jc w:val="left"/>
              <w:rPr>
                <w:rFonts w:eastAsia="宋体"/>
                <w:bCs/>
                <w:iCs/>
              </w:rPr>
            </w:pPr>
            <w:r>
              <w:rPr>
                <w:rFonts w:eastAsia="宋体"/>
                <w:bCs/>
                <w:iCs/>
                <w:kern w:val="0"/>
                <w:lang w:bidi="ar"/>
              </w:rPr>
              <w:t>Contents, type and format of data including:</w:t>
            </w:r>
          </w:p>
          <w:p>
            <w:pPr>
              <w:numPr>
                <w:ilvl w:val="1"/>
                <w:numId w:val="12"/>
              </w:numPr>
              <w:autoSpaceDE w:val="0"/>
              <w:autoSpaceDN w:val="0"/>
              <w:adjustRightInd w:val="0"/>
              <w:snapToGrid w:val="0"/>
              <w:spacing w:before="72" w:beforeLines="30" w:after="72" w:afterLines="30" w:line="288" w:lineRule="auto"/>
              <w:ind w:left="1440"/>
              <w:jc w:val="left"/>
              <w:rPr>
                <w:rFonts w:eastAsia="宋体"/>
                <w:bCs/>
                <w:iCs/>
              </w:rPr>
            </w:pPr>
            <w:r>
              <w:rPr>
                <w:rFonts w:eastAsia="宋体"/>
                <w:bCs/>
                <w:iCs/>
                <w:kern w:val="0"/>
                <w:lang w:bidi="ar"/>
              </w:rPr>
              <w:t>Data related to model input</w:t>
            </w:r>
          </w:p>
          <w:p>
            <w:pPr>
              <w:numPr>
                <w:ilvl w:val="1"/>
                <w:numId w:val="12"/>
              </w:numPr>
              <w:autoSpaceDE w:val="0"/>
              <w:autoSpaceDN w:val="0"/>
              <w:adjustRightInd w:val="0"/>
              <w:snapToGrid w:val="0"/>
              <w:spacing w:before="72" w:beforeLines="30" w:after="72" w:afterLines="30" w:line="288" w:lineRule="auto"/>
              <w:ind w:left="1440"/>
              <w:jc w:val="left"/>
              <w:rPr>
                <w:rFonts w:eastAsia="宋体"/>
                <w:bCs/>
                <w:iCs/>
              </w:rPr>
            </w:pPr>
            <w:r>
              <w:rPr>
                <w:rFonts w:eastAsia="宋体"/>
                <w:bCs/>
                <w:iCs/>
                <w:kern w:val="0"/>
                <w:lang w:bidi="ar"/>
              </w:rPr>
              <w:t>Data related to ground truth output</w:t>
            </w:r>
          </w:p>
          <w:p>
            <w:pPr>
              <w:numPr>
                <w:ilvl w:val="1"/>
                <w:numId w:val="12"/>
              </w:numPr>
              <w:autoSpaceDE w:val="0"/>
              <w:autoSpaceDN w:val="0"/>
              <w:adjustRightInd w:val="0"/>
              <w:snapToGrid w:val="0"/>
              <w:spacing w:before="72" w:beforeLines="30" w:after="72" w:afterLines="30" w:line="288" w:lineRule="auto"/>
              <w:ind w:left="1440"/>
              <w:jc w:val="left"/>
              <w:rPr>
                <w:rFonts w:eastAsia="宋体"/>
                <w:bCs/>
                <w:iCs/>
              </w:rPr>
            </w:pPr>
            <w:r>
              <w:rPr>
                <w:rFonts w:eastAsia="宋体"/>
                <w:bCs/>
                <w:iCs/>
                <w:kern w:val="0"/>
                <w:lang w:bidi="ar"/>
              </w:rPr>
              <w:t>Quality of the data</w:t>
            </w:r>
          </w:p>
          <w:p>
            <w:pPr>
              <w:numPr>
                <w:ilvl w:val="1"/>
                <w:numId w:val="12"/>
              </w:numPr>
              <w:autoSpaceDE w:val="0"/>
              <w:autoSpaceDN w:val="0"/>
              <w:adjustRightInd w:val="0"/>
              <w:snapToGrid w:val="0"/>
              <w:spacing w:before="72" w:beforeLines="30" w:after="72" w:afterLines="30" w:line="288" w:lineRule="auto"/>
              <w:ind w:left="1440"/>
              <w:jc w:val="left"/>
              <w:rPr>
                <w:rFonts w:eastAsia="宋体"/>
                <w:bCs/>
                <w:iCs/>
              </w:rPr>
            </w:pPr>
            <w:r>
              <w:rPr>
                <w:rFonts w:eastAsia="宋体"/>
                <w:bCs/>
                <w:iCs/>
                <w:kern w:val="0"/>
                <w:lang w:bidi="ar"/>
              </w:rPr>
              <w:t>Other information</w:t>
            </w:r>
          </w:p>
          <w:p>
            <w:pPr>
              <w:numPr>
                <w:ilvl w:val="0"/>
                <w:numId w:val="12"/>
              </w:numPr>
              <w:autoSpaceDE w:val="0"/>
              <w:autoSpaceDN w:val="0"/>
              <w:adjustRightInd w:val="0"/>
              <w:snapToGrid w:val="0"/>
              <w:spacing w:before="72" w:beforeLines="30" w:after="72" w:afterLines="30" w:line="288" w:lineRule="auto"/>
              <w:ind w:left="720"/>
              <w:jc w:val="left"/>
              <w:rPr>
                <w:rFonts w:eastAsia="宋体"/>
                <w:bCs/>
                <w:iCs/>
              </w:rPr>
            </w:pPr>
            <w:r>
              <w:rPr>
                <w:rFonts w:eastAsia="宋体"/>
                <w:bCs/>
                <w:iCs/>
                <w:kern w:val="0"/>
                <w:lang w:bidi="ar"/>
              </w:rPr>
              <w:t>Signaling of assistance information for categorizin</w:t>
            </w:r>
            <w:r>
              <w:rPr>
                <w:rFonts w:eastAsia="宋体"/>
                <w:bCs/>
                <w:iCs/>
                <w:color w:val="000000" w:themeColor="text1"/>
                <w:kern w:val="0"/>
                <w:lang w:bidi="ar"/>
                <w14:textFill>
                  <w14:solidFill>
                    <w14:schemeClr w14:val="tx1"/>
                  </w14:solidFill>
                </w14:textFill>
              </w:rPr>
              <w:t>g the data</w:t>
            </w:r>
            <w:r>
              <w:rPr>
                <w:rFonts w:eastAsia="宋体"/>
                <w:bCs/>
                <w:iCs/>
                <w:strike/>
                <w:color w:val="000000" w:themeColor="text1"/>
                <w:kern w:val="0"/>
                <w:lang w:bidi="ar"/>
                <w14:textFill>
                  <w14:solidFill>
                    <w14:schemeClr w14:val="tx1"/>
                  </w14:solidFill>
                </w14:textFill>
              </w:rPr>
              <w:t xml:space="preserve"> / dataset</w:t>
            </w:r>
          </w:p>
          <w:p>
            <w:pPr>
              <w:numPr>
                <w:ilvl w:val="1"/>
                <w:numId w:val="12"/>
              </w:numPr>
              <w:autoSpaceDE w:val="0"/>
              <w:autoSpaceDN w:val="0"/>
              <w:adjustRightInd w:val="0"/>
              <w:snapToGrid w:val="0"/>
              <w:spacing w:before="72" w:beforeLines="30" w:after="72" w:afterLines="30" w:line="288" w:lineRule="auto"/>
              <w:ind w:left="1440"/>
              <w:jc w:val="left"/>
              <w:rPr>
                <w:rFonts w:eastAsia="宋体"/>
                <w:bCs/>
                <w:iCs/>
              </w:rPr>
            </w:pPr>
            <w:r>
              <w:rPr>
                <w:rFonts w:eastAsia="宋体"/>
                <w:bCs/>
                <w:iCs/>
                <w:kern w:val="0"/>
                <w:lang w:bidi="ar"/>
              </w:rPr>
              <w:t>Note: The study should consider the feasibility of disclosure of proprietary information</w:t>
            </w:r>
          </w:p>
          <w:p>
            <w:pPr>
              <w:numPr>
                <w:ilvl w:val="0"/>
                <w:numId w:val="12"/>
              </w:numPr>
              <w:autoSpaceDE w:val="0"/>
              <w:autoSpaceDN w:val="0"/>
              <w:adjustRightInd w:val="0"/>
              <w:snapToGrid w:val="0"/>
              <w:spacing w:before="72" w:beforeLines="30" w:after="72" w:afterLines="30" w:line="288" w:lineRule="auto"/>
              <w:ind w:left="720"/>
              <w:jc w:val="left"/>
              <w:rPr>
                <w:rFonts w:eastAsia="宋体"/>
                <w:bCs/>
                <w:iCs/>
              </w:rPr>
            </w:pPr>
            <w:r>
              <w:rPr>
                <w:rFonts w:eastAsia="宋体"/>
                <w:bCs/>
                <w:iCs/>
                <w:kern w:val="0"/>
                <w:lang w:bidi="ar"/>
              </w:rPr>
              <w:t>Signaling for data collection procedure</w:t>
            </w:r>
          </w:p>
          <w:p>
            <w:pPr>
              <w:numPr>
                <w:ilvl w:val="0"/>
                <w:numId w:val="12"/>
              </w:numPr>
              <w:autoSpaceDE w:val="0"/>
              <w:autoSpaceDN w:val="0"/>
              <w:adjustRightInd w:val="0"/>
              <w:snapToGrid w:val="0"/>
              <w:spacing w:before="72" w:beforeLines="30" w:after="72" w:afterLines="30" w:line="288" w:lineRule="auto"/>
              <w:ind w:left="720"/>
              <w:jc w:val="left"/>
              <w:rPr>
                <w:rFonts w:eastAsia="宋体"/>
                <w:bCs/>
                <w:iCs/>
              </w:rPr>
            </w:pPr>
            <w:r>
              <w:rPr>
                <w:rFonts w:eastAsia="宋体"/>
                <w:bCs/>
                <w:iCs/>
                <w:kern w:val="0"/>
                <w:lang w:bidi="ar"/>
              </w:rPr>
              <w:t>Note 1: Use-case specific details can be studied in respective agenda items</w:t>
            </w:r>
          </w:p>
          <w:p>
            <w:pPr>
              <w:numPr>
                <w:ilvl w:val="0"/>
                <w:numId w:val="12"/>
              </w:numPr>
              <w:autoSpaceDE w:val="0"/>
              <w:autoSpaceDN w:val="0"/>
              <w:adjustRightInd w:val="0"/>
              <w:snapToGrid w:val="0"/>
              <w:spacing w:before="72" w:beforeLines="30" w:after="72" w:afterLines="30" w:line="288" w:lineRule="auto"/>
              <w:ind w:left="720"/>
              <w:jc w:val="left"/>
            </w:pPr>
            <w:r>
              <w:rPr>
                <w:rFonts w:eastAsia="宋体"/>
                <w:bCs/>
                <w:iCs/>
                <w:kern w:val="0"/>
                <w:lang w:bidi="ar"/>
              </w:rPr>
              <w:t>Note 2: Signaling mechanism details can be studied by appropriate working groups.</w:t>
            </w:r>
          </w:p>
        </w:tc>
      </w:tr>
    </w:tbl>
    <w:p>
      <w:pPr>
        <w:snapToGrid w:val="0"/>
        <w:spacing w:before="72" w:beforeLines="30" w:after="72" w:afterLines="30" w:line="288" w:lineRule="auto"/>
        <w:rPr>
          <w:rFonts w:eastAsia="微软雅黑"/>
          <w:kern w:val="0"/>
        </w:rPr>
      </w:pPr>
      <w:r>
        <w:rPr>
          <w:rFonts w:hint="eastAsia" w:eastAsia="微软雅黑"/>
          <w:kern w:val="0"/>
          <w:lang w:val="en-US" w:eastAsia="zh-CN"/>
        </w:rPr>
        <w:t>W</w:t>
      </w:r>
      <w:r>
        <w:rPr>
          <w:rFonts w:eastAsia="微软雅黑"/>
          <w:kern w:val="0"/>
        </w:rPr>
        <w:t xml:space="preserve">hen the data generation entity is </w:t>
      </w:r>
      <w:r>
        <w:rPr>
          <w:rFonts w:hint="eastAsia" w:eastAsia="微软雅黑"/>
          <w:kern w:val="0"/>
        </w:rPr>
        <w:t xml:space="preserve">at </w:t>
      </w:r>
      <w:r>
        <w:rPr>
          <w:rFonts w:eastAsia="微软雅黑"/>
          <w:kern w:val="0"/>
        </w:rPr>
        <w:t>UE</w:t>
      </w:r>
      <w:r>
        <w:rPr>
          <w:rFonts w:hint="eastAsia" w:eastAsia="微软雅黑"/>
          <w:kern w:val="0"/>
        </w:rPr>
        <w:t xml:space="preserve"> side</w:t>
      </w:r>
      <w:r>
        <w:rPr>
          <w:rFonts w:eastAsia="微软雅黑"/>
          <w:kern w:val="0"/>
        </w:rPr>
        <w:t xml:space="preserve"> and data processing entity is </w:t>
      </w:r>
      <w:r>
        <w:rPr>
          <w:rFonts w:hint="eastAsia" w:eastAsia="微软雅黑"/>
          <w:kern w:val="0"/>
        </w:rPr>
        <w:t xml:space="preserve">at </w:t>
      </w:r>
      <w:r>
        <w:rPr>
          <w:rFonts w:eastAsia="微软雅黑"/>
          <w:kern w:val="0"/>
        </w:rPr>
        <w:t xml:space="preserve">network side, </w:t>
      </w:r>
      <w:r>
        <w:rPr>
          <w:rFonts w:hint="eastAsia" w:eastAsia="微软雅黑"/>
          <w:kern w:val="0"/>
        </w:rPr>
        <w:t xml:space="preserve">the </w:t>
      </w:r>
      <w:r>
        <w:rPr>
          <w:rFonts w:eastAsia="微软雅黑"/>
          <w:kern w:val="0"/>
        </w:rPr>
        <w:t>UE</w:t>
      </w:r>
      <w:r>
        <w:rPr>
          <w:rFonts w:hint="eastAsia" w:eastAsia="微软雅黑"/>
          <w:kern w:val="0"/>
        </w:rPr>
        <w:t xml:space="preserve"> is</w:t>
      </w:r>
      <w:r>
        <w:rPr>
          <w:rFonts w:eastAsia="微软雅黑"/>
          <w:kern w:val="0"/>
        </w:rPr>
        <w:t xml:space="preserve"> required to conduct measurements based on configured reference signals. Then, the measurement</w:t>
      </w:r>
      <w:r>
        <w:rPr>
          <w:rFonts w:hint="eastAsia" w:eastAsia="微软雅黑"/>
          <w:kern w:val="0"/>
        </w:rPr>
        <w:t xml:space="preserve"> results are</w:t>
      </w:r>
      <w:r>
        <w:rPr>
          <w:rFonts w:eastAsia="微软雅黑"/>
          <w:kern w:val="0"/>
        </w:rPr>
        <w:t xml:space="preserve"> reported to </w:t>
      </w:r>
      <w:r>
        <w:rPr>
          <w:rFonts w:hint="eastAsia" w:eastAsia="微软雅黑"/>
          <w:kern w:val="0"/>
          <w:lang w:val="en-US" w:eastAsia="zh-CN"/>
        </w:rPr>
        <w:t xml:space="preserve">the </w:t>
      </w:r>
      <w:r>
        <w:rPr>
          <w:rFonts w:eastAsia="微软雅黑"/>
          <w:kern w:val="0"/>
        </w:rPr>
        <w:t xml:space="preserve">network side. </w:t>
      </w:r>
      <w:r>
        <w:rPr>
          <w:rFonts w:hint="eastAsia" w:eastAsia="微软雅黑"/>
          <w:kern w:val="0"/>
        </w:rPr>
        <w:t>F</w:t>
      </w:r>
      <w:r>
        <w:rPr>
          <w:rFonts w:eastAsia="微软雅黑"/>
          <w:kern w:val="0"/>
        </w:rPr>
        <w:t>or supervised learning, reliable ground-truth training data and label</w:t>
      </w:r>
      <w:r>
        <w:rPr>
          <w:rFonts w:hint="eastAsia" w:eastAsia="微软雅黑"/>
          <w:kern w:val="0"/>
        </w:rPr>
        <w:t>s</w:t>
      </w:r>
      <w:r>
        <w:rPr>
          <w:rFonts w:eastAsia="微软雅黑"/>
          <w:kern w:val="0"/>
        </w:rPr>
        <w:t xml:space="preserve"> are necessary to guarantee model performance. </w:t>
      </w:r>
      <w:r>
        <w:rPr>
          <w:rFonts w:hint="eastAsia" w:eastAsia="微软雅黑"/>
          <w:kern w:val="0"/>
        </w:rPr>
        <w:t>However, c</w:t>
      </w:r>
      <w:r>
        <w:rPr>
          <w:rFonts w:eastAsia="微软雅黑"/>
          <w:kern w:val="0"/>
        </w:rPr>
        <w:t xml:space="preserve">urrent measurement types defined in specification may not be able to provide </w:t>
      </w:r>
      <w:r>
        <w:rPr>
          <w:rFonts w:hint="eastAsia" w:eastAsia="微软雅黑"/>
          <w:kern w:val="0"/>
        </w:rPr>
        <w:t xml:space="preserve">the required </w:t>
      </w:r>
      <w:r>
        <w:rPr>
          <w:rFonts w:eastAsia="微软雅黑"/>
          <w:kern w:val="0"/>
        </w:rPr>
        <w:t xml:space="preserve">data quality for model training. Therefore, legacy measurements need to be enhanced to increase </w:t>
      </w:r>
      <w:r>
        <w:rPr>
          <w:rFonts w:hint="eastAsia" w:eastAsia="微软雅黑"/>
          <w:kern w:val="0"/>
        </w:rPr>
        <w:t>r</w:t>
      </w:r>
      <w:r>
        <w:rPr>
          <w:rFonts w:eastAsia="微软雅黑"/>
          <w:kern w:val="0"/>
        </w:rPr>
        <w:t>eliability</w:t>
      </w:r>
      <w:r>
        <w:rPr>
          <w:rFonts w:hint="eastAsia" w:eastAsia="宋体"/>
          <w:kern w:val="0"/>
        </w:rPr>
        <w:t xml:space="preserve"> on the data collection</w:t>
      </w:r>
      <w:r>
        <w:rPr>
          <w:rFonts w:eastAsia="微软雅黑"/>
          <w:kern w:val="0"/>
        </w:rPr>
        <w:t xml:space="preserve">, e.g., high resolution RSRP measurement and high accuracy channel information based on </w:t>
      </w:r>
      <w:r>
        <w:rPr>
          <w:rFonts w:hint="eastAsia" w:eastAsia="微软雅黑"/>
          <w:kern w:val="0"/>
        </w:rPr>
        <w:t xml:space="preserve">improved </w:t>
      </w:r>
      <w:r>
        <w:rPr>
          <w:rFonts w:eastAsia="微软雅黑"/>
          <w:kern w:val="0"/>
        </w:rPr>
        <w:t xml:space="preserve">Type II codebook. For example, as discussed in CSI use case, model input/output can either be eigenvectors or raw channels. </w:t>
      </w:r>
      <w:r>
        <w:rPr>
          <w:rFonts w:hint="eastAsia" w:eastAsia="微软雅黑"/>
          <w:kern w:val="0"/>
        </w:rPr>
        <w:t xml:space="preserve">Obviously, this </w:t>
      </w:r>
      <w:r>
        <w:rPr>
          <w:rFonts w:eastAsia="微软雅黑"/>
          <w:kern w:val="0"/>
        </w:rPr>
        <w:t>lead</w:t>
      </w:r>
      <w:r>
        <w:rPr>
          <w:rFonts w:hint="eastAsia" w:eastAsia="微软雅黑"/>
          <w:kern w:val="0"/>
        </w:rPr>
        <w:t>s</w:t>
      </w:r>
      <w:r>
        <w:rPr>
          <w:rFonts w:eastAsia="微软雅黑"/>
          <w:kern w:val="0"/>
        </w:rPr>
        <w:t xml:space="preserve"> to a lot of standardization efforts on how to define and report the new measurement types. Meanwhile, it’s inevitable that the overhead </w:t>
      </w:r>
      <w:r>
        <w:rPr>
          <w:rFonts w:hint="eastAsia" w:eastAsia="微软雅黑"/>
          <w:kern w:val="0"/>
        </w:rPr>
        <w:t xml:space="preserve">and latency of transmitting </w:t>
      </w:r>
      <w:r>
        <w:rPr>
          <w:rFonts w:eastAsia="微软雅黑"/>
          <w:kern w:val="0"/>
        </w:rPr>
        <w:t>ground-truth training data and label</w:t>
      </w:r>
      <w:r>
        <w:rPr>
          <w:rFonts w:hint="eastAsia" w:eastAsia="微软雅黑"/>
          <w:kern w:val="0"/>
        </w:rPr>
        <w:t>s</w:t>
      </w:r>
      <w:r>
        <w:rPr>
          <w:rFonts w:eastAsia="微软雅黑"/>
          <w:kern w:val="0"/>
        </w:rPr>
        <w:t xml:space="preserve"> will be </w:t>
      </w:r>
      <w:r>
        <w:rPr>
          <w:rFonts w:hint="eastAsia" w:eastAsia="微软雅黑"/>
          <w:kern w:val="0"/>
          <w:lang w:val="en-US" w:eastAsia="zh-CN"/>
        </w:rPr>
        <w:t>increased</w:t>
      </w:r>
      <w:r>
        <w:rPr>
          <w:rFonts w:eastAsia="微软雅黑"/>
          <w:kern w:val="0"/>
        </w:rPr>
        <w:t>.</w:t>
      </w:r>
      <w:r>
        <w:rPr>
          <w:rFonts w:hint="eastAsia" w:eastAsia="微软雅黑"/>
          <w:kern w:val="0"/>
        </w:rPr>
        <w:t xml:space="preserve"> </w:t>
      </w:r>
    </w:p>
    <w:p>
      <w:pPr>
        <w:snapToGrid w:val="0"/>
        <w:spacing w:before="72" w:beforeLines="30" w:after="72" w:afterLines="30" w:line="288" w:lineRule="auto"/>
        <w:rPr>
          <w:rFonts w:eastAsia="微软雅黑"/>
          <w:kern w:val="0"/>
        </w:rPr>
      </w:pPr>
      <w:r>
        <w:rPr>
          <w:rFonts w:hint="eastAsia" w:eastAsia="微软雅黑"/>
          <w:kern w:val="0"/>
        </w:rPr>
        <w:t xml:space="preserve">As agreed before, the data collection can be performed for different LCM purposes, e.g., model training, model monitoring or model inference. Our view is that RAN1 should conclude the different latency requirements for model training, model monitoring or model inference. The data collection for model inference and model monitoring requires instant report </w:t>
      </w:r>
      <w:r>
        <w:rPr>
          <w:rFonts w:hint="eastAsia" w:eastAsia="微软雅黑"/>
          <w:kern w:val="0"/>
          <w:lang w:val="en-US" w:eastAsia="zh-CN"/>
        </w:rPr>
        <w:t xml:space="preserve">from </w:t>
      </w:r>
      <w:r>
        <w:rPr>
          <w:rFonts w:hint="eastAsia" w:eastAsia="微软雅黑"/>
          <w:kern w:val="0"/>
        </w:rPr>
        <w:t>UE side. Hence, it</w:t>
      </w:r>
      <w:r>
        <w:rPr>
          <w:rFonts w:eastAsia="微软雅黑"/>
          <w:kern w:val="0"/>
        </w:rPr>
        <w:t>’</w:t>
      </w:r>
      <w:r>
        <w:rPr>
          <w:rFonts w:hint="eastAsia" w:eastAsia="微软雅黑"/>
          <w:kern w:val="0"/>
        </w:rPr>
        <w:t>s better to reuse layer one measurement report to have fast report on the model output and model performance. As for model training, the model is generally trained offline, so low latency report for the training data is not necessary. It</w:t>
      </w:r>
      <w:r>
        <w:rPr>
          <w:rFonts w:eastAsia="微软雅黑"/>
          <w:kern w:val="0"/>
        </w:rPr>
        <w:t>’</w:t>
      </w:r>
      <w:r>
        <w:rPr>
          <w:rFonts w:hint="eastAsia" w:eastAsia="微软雅黑"/>
          <w:kern w:val="0"/>
        </w:rPr>
        <w:t>s up to RAN2 to discuss which signaling framework can be used for training data collection.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napToGrid w:val="0"/>
              <w:spacing w:before="82" w:beforeLines="30" w:after="82" w:afterLines="30" w:line="288" w:lineRule="auto"/>
              <w:rPr>
                <w:rFonts w:hint="default" w:ascii="Times New Roman" w:hAnsi="Times New Roman" w:eastAsia="宋体" w:cs="Times New Roman"/>
                <w:b/>
                <w:bCs/>
                <w:kern w:val="0"/>
                <w:u w:val="single"/>
                <w:vertAlign w:val="baseline"/>
                <w:lang w:val="en-US" w:eastAsia="zh-CN"/>
              </w:rPr>
            </w:pPr>
            <w:r>
              <w:rPr>
                <w:rFonts w:hint="default" w:ascii="Times New Roman" w:hAnsi="Times New Roman" w:eastAsia="微软雅黑" w:cs="Times New Roman"/>
                <w:b/>
                <w:bCs/>
                <w:kern w:val="0"/>
                <w:u w:val="single"/>
                <w:vertAlign w:val="baseline"/>
                <w:lang w:val="en-US" w:eastAsia="zh-CN"/>
              </w:rPr>
              <w:t>Agreement in</w:t>
            </w:r>
            <w:r>
              <w:rPr>
                <w:rFonts w:hint="eastAsia" w:eastAsia="微软雅黑" w:cs="Times New Roman"/>
                <w:b/>
                <w:bCs/>
                <w:kern w:val="0"/>
                <w:u w:val="single"/>
                <w:vertAlign w:val="baseline"/>
                <w:lang w:val="en-US" w:eastAsia="zh-CN"/>
              </w:rPr>
              <w:t xml:space="preserve"> </w:t>
            </w:r>
            <w:r>
              <w:rPr>
                <w:rFonts w:ascii="Times New Roman" w:hAnsi="Times New Roman" w:cs="Times New Roman"/>
                <w:b/>
                <w:bCs/>
                <w:u w:val="single"/>
                <w:lang w:val="en-US"/>
              </w:rPr>
              <w:t>RAN2#121</w:t>
            </w:r>
            <w:r>
              <w:rPr>
                <w:rFonts w:hint="default" w:ascii="Times New Roman" w:hAnsi="Times New Roman" w:eastAsia="宋体" w:cs="Times New Roman"/>
                <w:b/>
                <w:bCs/>
                <w:u w:val="single"/>
                <w:lang w:val="en-US" w:eastAsia="zh-CN"/>
              </w:rPr>
              <w:t>:</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1 RAN2 to simultaneously focus on studying data collection solutions for both NW- and UE-sided AIML models, including assistance signalling and (dataset) reporting from the concerning entity.</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2 Study RAN2 implications of data collection for all concerning LCM purpose, e.g., model training/monitoring/selection/update/inference/etc.</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3 RAN2 to separately analyse the data collection requirements and solutions for the different LCM purposes. FFS if general frameworks/solutions could be adopted.</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4 Wait for RAN1 requirements before discussing specific data collection solutions for use cases and for the related (LCM) procedures. In the meantime, RAN2 can summarize the implementation of existing frameworks while focusing on different performance metrics.</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5 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6 Consider the following existing frameworks as starting points to be considered for data collection: SON &amp; MDT, UE assistance information, RRM measurement reports, CSI reporting framework, LPP Provide location information. FFS whether other frameworks should be discussed.</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7 Upon receiving specific (RAN1) requirements, RAN2 to decide whether the existing frameworks can be reused/extended, or whether a new framework is required.</w:t>
            </w:r>
          </w:p>
          <w:p>
            <w:pPr>
              <w:widowControl w:val="0"/>
              <w:spacing w:before="82" w:beforeLines="30" w:after="82" w:afterLines="30" w:line="288" w:lineRule="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Proposal 8 For data collection, RAN2 will simply keep progressing and will inform of concerning agreements to RAN1 when necessary.</w:t>
            </w:r>
          </w:p>
          <w:p>
            <w:pPr>
              <w:widowControl w:val="0"/>
              <w:tabs>
                <w:tab w:val="left" w:pos="1619"/>
              </w:tabs>
              <w:spacing w:before="82" w:beforeLines="30" w:after="82" w:afterLines="30" w:line="288" w:lineRule="auto"/>
              <w:ind w:left="359"/>
              <w:rPr>
                <w:rFonts w:ascii="Times New Roman" w:hAnsi="Times New Roman" w:cs="Times New Roman"/>
                <w:b w:val="0"/>
                <w:bCs w:val="0"/>
                <w:color w:val="auto"/>
                <w:lang w:val="en-US"/>
              </w:rPr>
            </w:pPr>
            <w:r>
              <w:rPr>
                <w:rFonts w:hint="default" w:ascii="Times New Roman" w:hAnsi="Times New Roman" w:cs="Times New Roman"/>
                <w:b w:val="0"/>
                <w:bCs w:val="0"/>
                <w:color w:val="auto"/>
                <w:lang w:val="en-US" w:eastAsia="zh-CN"/>
              </w:rPr>
              <w:t>=&gt;P1-P8 are loosely endorsed with the understanding that we can also go beyond, e.g. analyse other methods.</w:t>
            </w:r>
          </w:p>
          <w:p>
            <w:pPr>
              <w:widowControl w:val="0"/>
              <w:snapToGrid w:val="0"/>
              <w:spacing w:before="82" w:beforeLines="30" w:after="82" w:afterLines="30" w:line="288" w:lineRule="auto"/>
              <w:rPr>
                <w:rFonts w:hint="default" w:ascii="Times New Roman" w:hAnsi="Times New Roman" w:eastAsia="微软雅黑" w:cs="Times New Roman"/>
                <w:b w:val="0"/>
                <w:bCs w:val="0"/>
                <w:kern w:val="0"/>
                <w:vertAlign w:val="baseline"/>
                <w:lang w:val="en-US" w:eastAsia="zh-CN"/>
              </w:rPr>
            </w:pPr>
          </w:p>
          <w:p>
            <w:pPr>
              <w:widowControl w:val="0"/>
              <w:snapToGrid w:val="0"/>
              <w:spacing w:before="82" w:beforeLines="30" w:after="82" w:afterLines="30" w:line="288" w:lineRule="auto"/>
              <w:rPr>
                <w:rFonts w:hint="default" w:ascii="Times New Roman" w:hAnsi="Times New Roman" w:eastAsia="微软雅黑" w:cs="Times New Roman"/>
                <w:b/>
                <w:bCs/>
                <w:kern w:val="0"/>
                <w:u w:val="single"/>
                <w:vertAlign w:val="baseline"/>
                <w:lang w:val="en-US" w:eastAsia="zh-CN"/>
              </w:rPr>
            </w:pPr>
            <w:r>
              <w:rPr>
                <w:rFonts w:hint="default" w:ascii="Times New Roman" w:hAnsi="Times New Roman" w:eastAsia="微软雅黑" w:cs="Times New Roman"/>
                <w:b/>
                <w:bCs/>
                <w:kern w:val="0"/>
                <w:u w:val="single"/>
                <w:vertAlign w:val="baseline"/>
                <w:lang w:val="en-US" w:eastAsia="zh-CN"/>
              </w:rPr>
              <w:t xml:space="preserve">Agreement in </w:t>
            </w:r>
            <w:r>
              <w:rPr>
                <w:rFonts w:hint="default" w:ascii="Times New Roman" w:hAnsi="Times New Roman" w:eastAsia="微软雅黑" w:cs="Times New Roman"/>
                <w:b/>
                <w:bCs/>
                <w:kern w:val="0"/>
                <w:u w:val="single"/>
              </w:rPr>
              <w:t>RAN2#121</w:t>
            </w:r>
            <w:r>
              <w:rPr>
                <w:rFonts w:hint="default" w:ascii="Times New Roman" w:hAnsi="Times New Roman" w:eastAsia="微软雅黑" w:cs="Times New Roman"/>
                <w:b/>
                <w:bCs/>
                <w:kern w:val="0"/>
                <w:u w:val="single"/>
                <w:lang w:val="en-US" w:eastAsia="zh-CN"/>
              </w:rPr>
              <w:t>bis-e:</w:t>
            </w:r>
          </w:p>
          <w:p>
            <w:pPr>
              <w:pStyle w:val="50"/>
              <w:widowControl w:val="0"/>
              <w:tabs>
                <w:tab w:val="left" w:pos="359"/>
              </w:tabs>
              <w:spacing w:before="82" w:beforeLines="30" w:after="82" w:afterLines="30" w:line="288" w:lineRule="auto"/>
              <w:rPr>
                <w:rFonts w:ascii="Times New Roman" w:hAnsi="Times New Roman" w:cs="Times New Roman"/>
                <w:b w:val="0"/>
                <w:bCs w:val="0"/>
                <w:lang w:val="en-US"/>
              </w:rPr>
            </w:pPr>
            <w:r>
              <w:rPr>
                <w:rFonts w:ascii="Times New Roman" w:hAnsi="Times New Roman" w:cs="Times New Roman"/>
                <w:b w:val="0"/>
                <w:bCs w:val="0"/>
                <w:lang w:val="en-US"/>
              </w:rPr>
              <w:t xml:space="preserve">P1: RAN2 to understand/determine/capture requirements of data collection for the LCM functionalities and document the results. FFS on the exact presentation format. Expect RAN1 to provide some related information. </w:t>
            </w:r>
          </w:p>
          <w:p>
            <w:pPr>
              <w:pStyle w:val="50"/>
              <w:widowControl w:val="0"/>
              <w:tabs>
                <w:tab w:val="left" w:pos="359"/>
              </w:tabs>
              <w:spacing w:before="82" w:beforeLines="30" w:after="82" w:afterLines="30" w:line="288" w:lineRule="auto"/>
              <w:rPr>
                <w:rFonts w:ascii="Times New Roman" w:hAnsi="Times New Roman" w:cs="Times New Roman"/>
                <w:b w:val="0"/>
                <w:bCs w:val="0"/>
                <w:lang w:val="en-US"/>
              </w:rPr>
            </w:pPr>
            <w:r>
              <w:rPr>
                <w:rFonts w:ascii="Times New Roman" w:hAnsi="Times New Roman" w:cs="Times New Roman"/>
                <w:b w:val="0"/>
                <w:bCs w:val="0"/>
                <w:lang w:val="en-US"/>
              </w:rPr>
              <w:t xml:space="preserve">P2: RAN2 to capture the analysis (see P1 above) separately for the use-cases, i.e., CSI feedback enhancement, beam management and positioning enhancement.  FFS how we do the formatting/presentation of the results. </w:t>
            </w:r>
          </w:p>
          <w:p>
            <w:pPr>
              <w:pStyle w:val="50"/>
              <w:widowControl w:val="0"/>
              <w:tabs>
                <w:tab w:val="left" w:pos="359"/>
              </w:tabs>
              <w:spacing w:before="82" w:beforeLines="30" w:after="82" w:afterLines="30" w:line="288" w:lineRule="auto"/>
              <w:rPr>
                <w:rFonts w:ascii="Times New Roman" w:hAnsi="Times New Roman" w:cs="Times New Roman"/>
                <w:b w:val="0"/>
                <w:bCs w:val="0"/>
                <w:lang w:val="en-US"/>
              </w:rPr>
            </w:pPr>
            <w:r>
              <w:rPr>
                <w:rFonts w:ascii="Times New Roman" w:hAnsi="Times New Roman" w:cs="Times New Roman"/>
                <w:b w:val="0"/>
                <w:bCs w:val="0"/>
                <w:lang w:val="en-US"/>
              </w:rPr>
              <w:t>P3: Study the applicability (and limitations) of each identified data collection framework for each of the identified LCM purposes, i.e., inference, monitoring and (offline) training. FFS how we do the formatting/presentation of the results.</w:t>
            </w:r>
          </w:p>
          <w:p>
            <w:pPr>
              <w:pStyle w:val="50"/>
              <w:widowControl w:val="0"/>
              <w:tabs>
                <w:tab w:val="left" w:pos="359"/>
              </w:tabs>
              <w:spacing w:before="82" w:beforeLines="30" w:after="82" w:afterLines="30" w:line="288" w:lineRule="auto"/>
              <w:rPr>
                <w:rFonts w:ascii="Times New Roman" w:hAnsi="Times New Roman" w:cs="Times New Roman"/>
                <w:b w:val="0"/>
                <w:bCs w:val="0"/>
                <w:lang w:val="en-US"/>
              </w:rPr>
            </w:pPr>
            <w:r>
              <w:rPr>
                <w:rFonts w:ascii="Times New Roman" w:hAnsi="Times New Roman" w:cs="Times New Roman"/>
                <w:b w:val="0"/>
                <w:bCs w:val="0"/>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p>
          <w:p>
            <w:pPr>
              <w:pStyle w:val="50"/>
              <w:widowControl w:val="0"/>
              <w:numPr>
                <w:ilvl w:val="0"/>
                <w:numId w:val="0"/>
              </w:numPr>
              <w:tabs>
                <w:tab w:val="left" w:pos="359"/>
                <w:tab w:val="left" w:pos="720"/>
              </w:tabs>
              <w:spacing w:before="82" w:beforeLines="30" w:after="82" w:afterLines="30" w:line="288" w:lineRule="auto"/>
              <w:ind w:left="1619"/>
              <w:rPr>
                <w:rFonts w:ascii="Times New Roman" w:hAnsi="Times New Roman" w:cs="Times New Roman"/>
                <w:b w:val="0"/>
                <w:bCs w:val="0"/>
                <w:lang w:val="en-US"/>
              </w:rPr>
            </w:pPr>
            <w:r>
              <w:rPr>
                <w:rFonts w:ascii="Times New Roman" w:hAnsi="Times New Roman" w:cs="Times New Roman"/>
                <w:b w:val="0"/>
                <w:bCs w:val="0"/>
                <w:lang w:val="en-US"/>
              </w:rPr>
              <w:t xml:space="preserve">- Model sidedness (UE side, NW side, two sided) FFS </w:t>
            </w:r>
          </w:p>
          <w:p>
            <w:pPr>
              <w:pStyle w:val="50"/>
              <w:widowControl w:val="0"/>
              <w:numPr>
                <w:ilvl w:val="0"/>
                <w:numId w:val="0"/>
              </w:numPr>
              <w:tabs>
                <w:tab w:val="left" w:pos="359"/>
                <w:tab w:val="left" w:pos="720"/>
              </w:tabs>
              <w:spacing w:before="82" w:beforeLines="30" w:after="82" w:afterLines="30" w:line="288" w:lineRule="auto"/>
              <w:ind w:left="1619"/>
              <w:rPr>
                <w:rFonts w:ascii="Times New Roman" w:hAnsi="Times New Roman" w:cs="Times New Roman"/>
                <w:b w:val="0"/>
                <w:bCs w:val="0"/>
                <w:lang w:val="en-US"/>
              </w:rPr>
            </w:pPr>
            <w:r>
              <w:rPr>
                <w:rFonts w:ascii="Times New Roman" w:hAnsi="Times New Roman" w:cs="Times New Roman"/>
                <w:b w:val="0"/>
                <w:bCs w:val="0"/>
                <w:lang w:val="en-US"/>
              </w:rPr>
              <w:t>- Use case mapping FFS</w:t>
            </w:r>
          </w:p>
          <w:p>
            <w:pPr>
              <w:pStyle w:val="50"/>
              <w:widowControl w:val="0"/>
              <w:tabs>
                <w:tab w:val="left" w:pos="359"/>
              </w:tabs>
              <w:snapToGrid w:val="0"/>
              <w:spacing w:before="82" w:beforeLines="30" w:after="82" w:afterLines="30" w:line="288" w:lineRule="auto"/>
              <w:rPr>
                <w:rFonts w:hint="default" w:ascii="Times New Roman" w:hAnsi="Times New Roman" w:eastAsia="微软雅黑" w:cs="Times New Roman"/>
                <w:b w:val="0"/>
                <w:bCs w:val="0"/>
                <w:kern w:val="0"/>
                <w:vertAlign w:val="baseline"/>
                <w:lang w:val="en-US" w:eastAsia="zh-CN"/>
              </w:rPr>
            </w:pPr>
            <w:r>
              <w:rPr>
                <w:rFonts w:ascii="Times New Roman" w:hAnsi="Times New Roman" w:cs="Times New Roman"/>
                <w:b w:val="0"/>
                <w:bCs w:val="0"/>
                <w:lang w:val="en-US"/>
              </w:rPr>
              <w:t>P5: RAN2 to modify the previously endorsed table by adding 3 additional columns: inference; monitoring and (offline) training. Whether to, and how to further restructure the table is FFS.</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714"/>
              <w:gridCol w:w="992"/>
              <w:gridCol w:w="1276"/>
              <w:gridCol w:w="994"/>
              <w:gridCol w:w="994"/>
              <w:gridCol w:w="571"/>
              <w:gridCol w:w="996"/>
              <w:gridCol w:w="569"/>
              <w:gridCol w:w="573"/>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180" w:hRule="atLeast"/>
              </w:trPr>
              <w:tc>
                <w:tcPr>
                  <w:tcW w:w="660" w:type="pct"/>
                </w:tcPr>
                <w:p>
                  <w:pPr>
                    <w:widowControl w:val="0"/>
                    <w:spacing w:line="276" w:lineRule="auto"/>
                    <w:rPr>
                      <w:rFonts w:eastAsia="MS Mincho"/>
                    </w:rPr>
                  </w:pPr>
                </w:p>
              </w:tc>
              <w:tc>
                <w:tcPr>
                  <w:tcW w:w="370" w:type="pct"/>
                  <w:textDirection w:val="btLr"/>
                </w:tcPr>
                <w:p>
                  <w:pPr>
                    <w:widowControl w:val="0"/>
                    <w:spacing w:line="276" w:lineRule="auto"/>
                    <w:ind w:left="113" w:right="113"/>
                    <w:rPr>
                      <w:rFonts w:eastAsia="MS Mincho"/>
                      <w:lang w:val="it-IT"/>
                    </w:rPr>
                  </w:pPr>
                  <w:r>
                    <w:rPr>
                      <w:rFonts w:eastAsia="MS Mincho"/>
                      <w:lang w:val="en-US" w:eastAsia="zh-CN"/>
                    </w:rPr>
                    <w:t xml:space="preserve">Involved Network </w:t>
                  </w:r>
                  <w:r>
                    <w:rPr>
                      <w:rFonts w:eastAsia="MS Mincho"/>
                      <w:lang w:val="en-US"/>
                    </w:rPr>
                    <w:t>entity</w:t>
                  </w:r>
                </w:p>
              </w:tc>
              <w:tc>
                <w:tcPr>
                  <w:tcW w:w="514" w:type="pct"/>
                  <w:textDirection w:val="btLr"/>
                </w:tcPr>
                <w:p>
                  <w:pPr>
                    <w:widowControl w:val="0"/>
                    <w:spacing w:line="276" w:lineRule="auto"/>
                    <w:ind w:left="113" w:right="113"/>
                    <w:rPr>
                      <w:rFonts w:eastAsia="MS Mincho"/>
                    </w:rPr>
                  </w:pPr>
                  <w:r>
                    <w:rPr>
                      <w:rFonts w:eastAsia="MS Mincho"/>
                      <w:lang w:val="en-US"/>
                    </w:rPr>
                    <w:t>RRC state to generate data</w:t>
                  </w:r>
                </w:p>
              </w:tc>
              <w:tc>
                <w:tcPr>
                  <w:tcW w:w="661" w:type="pct"/>
                  <w:textDirection w:val="btLr"/>
                </w:tcPr>
                <w:p>
                  <w:pPr>
                    <w:widowControl w:val="0"/>
                    <w:spacing w:line="276" w:lineRule="auto"/>
                    <w:ind w:left="113" w:right="113"/>
                    <w:rPr>
                      <w:rFonts w:eastAsia="MS Mincho"/>
                    </w:rPr>
                  </w:pPr>
                  <w:r>
                    <w:rPr>
                      <w:rFonts w:eastAsia="MS Mincho"/>
                      <w:lang w:val="en-US"/>
                    </w:rPr>
                    <w:t>Max payload size per reporting*</w:t>
                  </w:r>
                </w:p>
              </w:tc>
              <w:tc>
                <w:tcPr>
                  <w:tcW w:w="515" w:type="pct"/>
                  <w:textDirection w:val="btLr"/>
                </w:tcPr>
                <w:p>
                  <w:pPr>
                    <w:widowControl w:val="0"/>
                    <w:spacing w:line="276" w:lineRule="auto"/>
                    <w:ind w:left="113" w:right="113"/>
                    <w:rPr>
                      <w:rFonts w:eastAsia="MS Mincho"/>
                      <w:lang w:val="it-IT"/>
                    </w:rPr>
                  </w:pPr>
                  <w:r>
                    <w:rPr>
                      <w:rFonts w:eastAsia="MS Mincho"/>
                      <w:lang w:val="en-US"/>
                    </w:rPr>
                    <w:t>Contents to be collected</w:t>
                  </w:r>
                </w:p>
              </w:tc>
              <w:tc>
                <w:tcPr>
                  <w:tcW w:w="515" w:type="pct"/>
                  <w:textDirection w:val="btLr"/>
                </w:tcPr>
                <w:p>
                  <w:pPr>
                    <w:widowControl w:val="0"/>
                    <w:spacing w:line="276" w:lineRule="auto"/>
                    <w:ind w:left="113" w:right="113"/>
                    <w:rPr>
                      <w:rFonts w:eastAsia="MS Mincho"/>
                    </w:rPr>
                  </w:pPr>
                  <w:r>
                    <w:rPr>
                      <w:rFonts w:eastAsia="MS Mincho"/>
                      <w:lang w:val="en-US"/>
                    </w:rPr>
                    <w:t>End-to-End report latency**</w:t>
                  </w:r>
                </w:p>
              </w:tc>
              <w:tc>
                <w:tcPr>
                  <w:tcW w:w="296" w:type="pct"/>
                  <w:textDirection w:val="btLr"/>
                </w:tcPr>
                <w:p>
                  <w:pPr>
                    <w:widowControl w:val="0"/>
                    <w:spacing w:line="276" w:lineRule="auto"/>
                    <w:ind w:left="113" w:right="113"/>
                    <w:rPr>
                      <w:rFonts w:eastAsia="MS Mincho"/>
                      <w:lang w:val="it-IT"/>
                    </w:rPr>
                  </w:pPr>
                  <w:r>
                    <w:rPr>
                      <w:rFonts w:eastAsia="MS Mincho"/>
                      <w:lang w:val="en-US"/>
                    </w:rPr>
                    <w:t>Report type</w:t>
                  </w:r>
                </w:p>
              </w:tc>
              <w:tc>
                <w:tcPr>
                  <w:tcW w:w="516" w:type="pct"/>
                  <w:textDirection w:val="btLr"/>
                </w:tcPr>
                <w:p>
                  <w:pPr>
                    <w:widowControl w:val="0"/>
                    <w:spacing w:line="276" w:lineRule="auto"/>
                    <w:ind w:left="113" w:right="113"/>
                    <w:rPr>
                      <w:rFonts w:eastAsia="MS Mincho"/>
                      <w:lang w:val="it-IT"/>
                    </w:rPr>
                  </w:pPr>
                  <w:r>
                    <w:rPr>
                      <w:rFonts w:eastAsia="MS Mincho"/>
                      <w:lang w:val="en-US"/>
                    </w:rPr>
                    <w:t>Security and Privacy</w:t>
                  </w:r>
                </w:p>
              </w:tc>
              <w:tc>
                <w:tcPr>
                  <w:tcW w:w="295" w:type="pct"/>
                  <w:textDirection w:val="btLr"/>
                </w:tcPr>
                <w:p>
                  <w:pPr>
                    <w:widowControl w:val="0"/>
                    <w:spacing w:line="276" w:lineRule="auto"/>
                    <w:ind w:left="113" w:right="113"/>
                    <w:rPr>
                      <w:rFonts w:eastAsia="MS Mincho"/>
                      <w:lang w:val="it-IT"/>
                    </w:rPr>
                  </w:pPr>
                  <w:r>
                    <w:rPr>
                      <w:rFonts w:eastAsia="MS Mincho"/>
                      <w:lang w:val="en-US"/>
                    </w:rPr>
                    <w:t>Inference</w:t>
                  </w:r>
                </w:p>
              </w:tc>
              <w:tc>
                <w:tcPr>
                  <w:tcW w:w="297" w:type="pct"/>
                  <w:textDirection w:val="btLr"/>
                </w:tcPr>
                <w:p>
                  <w:pPr>
                    <w:widowControl w:val="0"/>
                    <w:spacing w:line="276" w:lineRule="auto"/>
                    <w:ind w:left="113" w:right="113"/>
                    <w:rPr>
                      <w:rFonts w:eastAsia="MS Mincho"/>
                      <w:lang w:val="it-IT"/>
                    </w:rPr>
                  </w:pPr>
                  <w:r>
                    <w:rPr>
                      <w:rFonts w:eastAsia="MS Mincho"/>
                      <w:lang w:val="en-US"/>
                    </w:rPr>
                    <w:t>Monitoring</w:t>
                  </w:r>
                </w:p>
              </w:tc>
              <w:tc>
                <w:tcPr>
                  <w:tcW w:w="361" w:type="pct"/>
                  <w:textDirection w:val="btLr"/>
                </w:tcPr>
                <w:p>
                  <w:pPr>
                    <w:widowControl w:val="0"/>
                    <w:spacing w:after="0" w:line="276" w:lineRule="auto"/>
                    <w:ind w:left="113" w:right="113"/>
                    <w:rPr>
                      <w:rFonts w:eastAsia="MS Mincho"/>
                      <w:lang w:val="it-IT"/>
                    </w:rPr>
                  </w:pPr>
                  <w:r>
                    <w:rPr>
                      <w:rFonts w:eastAsia="MS Mincho"/>
                      <w:lang w:val="en-US"/>
                    </w:rPr>
                    <w:t>Offline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60" w:type="pct"/>
                </w:tcPr>
                <w:p>
                  <w:pPr>
                    <w:widowControl w:val="0"/>
                    <w:spacing w:line="276" w:lineRule="auto"/>
                    <w:rPr>
                      <w:rStyle w:val="20"/>
                      <w:rFonts w:eastAsia="MS Mincho"/>
                      <w:sz w:val="20"/>
                      <w:szCs w:val="20"/>
                      <w:lang w:val="it-IT"/>
                    </w:rPr>
                  </w:pPr>
                  <w:r>
                    <w:rPr>
                      <w:rStyle w:val="20"/>
                      <w:rFonts w:eastAsia="MS Mincho"/>
                      <w:sz w:val="20"/>
                      <w:szCs w:val="20"/>
                      <w:lang w:val="it-IT"/>
                    </w:rPr>
                    <w:t>Framework</w:t>
                  </w:r>
                </w:p>
              </w:tc>
              <w:tc>
                <w:tcPr>
                  <w:tcW w:w="370" w:type="pct"/>
                </w:tcPr>
                <w:p>
                  <w:pPr>
                    <w:widowControl w:val="0"/>
                    <w:spacing w:line="276" w:lineRule="auto"/>
                    <w:rPr>
                      <w:rFonts w:eastAsia="MS Mincho"/>
                      <w:lang w:val="en-US" w:eastAsia="zh-CN"/>
                    </w:rPr>
                  </w:pPr>
                </w:p>
              </w:tc>
              <w:tc>
                <w:tcPr>
                  <w:tcW w:w="514" w:type="pct"/>
                </w:tcPr>
                <w:p>
                  <w:pPr>
                    <w:widowControl w:val="0"/>
                    <w:spacing w:line="276" w:lineRule="auto"/>
                    <w:rPr>
                      <w:rFonts w:eastAsia="MS Mincho"/>
                      <w:lang w:val="en-US"/>
                    </w:rPr>
                  </w:pPr>
                </w:p>
              </w:tc>
              <w:tc>
                <w:tcPr>
                  <w:tcW w:w="661" w:type="pct"/>
                </w:tcPr>
                <w:p>
                  <w:pPr>
                    <w:widowControl w:val="0"/>
                    <w:spacing w:line="276" w:lineRule="auto"/>
                    <w:rPr>
                      <w:rFonts w:eastAsia="MS Mincho"/>
                      <w:lang w:val="en-US"/>
                    </w:rPr>
                  </w:pPr>
                </w:p>
              </w:tc>
              <w:tc>
                <w:tcPr>
                  <w:tcW w:w="515" w:type="pct"/>
                </w:tcPr>
                <w:p>
                  <w:pPr>
                    <w:widowControl w:val="0"/>
                    <w:spacing w:line="276" w:lineRule="auto"/>
                    <w:rPr>
                      <w:rFonts w:eastAsia="MS Mincho"/>
                      <w:lang w:val="en-US"/>
                    </w:rPr>
                  </w:pPr>
                </w:p>
              </w:tc>
              <w:tc>
                <w:tcPr>
                  <w:tcW w:w="515" w:type="pct"/>
                </w:tcPr>
                <w:p>
                  <w:pPr>
                    <w:widowControl w:val="0"/>
                    <w:spacing w:line="276" w:lineRule="auto"/>
                    <w:rPr>
                      <w:rFonts w:eastAsia="MS Mincho"/>
                      <w:lang w:val="en-US"/>
                    </w:rPr>
                  </w:pPr>
                </w:p>
              </w:tc>
              <w:tc>
                <w:tcPr>
                  <w:tcW w:w="296" w:type="pct"/>
                </w:tcPr>
                <w:p>
                  <w:pPr>
                    <w:widowControl w:val="0"/>
                    <w:spacing w:line="276" w:lineRule="auto"/>
                    <w:rPr>
                      <w:rFonts w:eastAsia="MS Mincho"/>
                      <w:lang w:val="en-US"/>
                    </w:rPr>
                  </w:pPr>
                </w:p>
              </w:tc>
              <w:tc>
                <w:tcPr>
                  <w:tcW w:w="516" w:type="pct"/>
                </w:tcPr>
                <w:p>
                  <w:pPr>
                    <w:widowControl w:val="0"/>
                    <w:spacing w:line="276" w:lineRule="auto"/>
                    <w:rPr>
                      <w:rFonts w:eastAsia="MS Mincho"/>
                      <w:lang w:val="en-US"/>
                    </w:rPr>
                  </w:pPr>
                </w:p>
              </w:tc>
              <w:tc>
                <w:tcPr>
                  <w:tcW w:w="295" w:type="pct"/>
                </w:tcPr>
                <w:p>
                  <w:pPr>
                    <w:widowControl w:val="0"/>
                    <w:spacing w:line="276" w:lineRule="auto"/>
                    <w:rPr>
                      <w:rFonts w:eastAsia="MS Mincho"/>
                      <w:lang w:val="en-US"/>
                    </w:rPr>
                  </w:pPr>
                </w:p>
              </w:tc>
              <w:tc>
                <w:tcPr>
                  <w:tcW w:w="297" w:type="pct"/>
                </w:tcPr>
                <w:p>
                  <w:pPr>
                    <w:widowControl w:val="0"/>
                    <w:spacing w:line="276" w:lineRule="auto"/>
                    <w:rPr>
                      <w:rFonts w:eastAsia="MS Mincho"/>
                      <w:lang w:val="en-US"/>
                    </w:rPr>
                  </w:pPr>
                </w:p>
              </w:tc>
              <w:tc>
                <w:tcPr>
                  <w:tcW w:w="361" w:type="pct"/>
                </w:tcPr>
                <w:p>
                  <w:pPr>
                    <w:widowControl w:val="0"/>
                    <w:spacing w:after="0" w:line="276" w:lineRule="auto"/>
                    <w:rPr>
                      <w:rFonts w:eastAsia="MS Mincho"/>
                      <w:lang w:val="en-US"/>
                    </w:rPr>
                  </w:pPr>
                </w:p>
              </w:tc>
            </w:tr>
          </w:tbl>
          <w:p>
            <w:pPr>
              <w:widowControl w:val="0"/>
              <w:snapToGrid w:val="0"/>
              <w:spacing w:before="82" w:beforeLines="30" w:after="82" w:afterLines="30" w:line="288" w:lineRule="auto"/>
              <w:rPr>
                <w:rFonts w:hint="default" w:ascii="Times New Roman" w:hAnsi="Times New Roman" w:eastAsia="微软雅黑" w:cs="Times New Roman"/>
                <w:b w:val="0"/>
                <w:bCs w:val="0"/>
                <w:kern w:val="0"/>
                <w:vertAlign w:val="baseline"/>
                <w:lang w:val="en-US" w:eastAsia="zh-CN"/>
              </w:rPr>
            </w:pPr>
          </w:p>
        </w:tc>
      </w:tr>
    </w:tbl>
    <w:p>
      <w:pPr>
        <w:snapToGrid w:val="0"/>
        <w:spacing w:before="72" w:beforeLines="30" w:after="72" w:afterLines="30" w:line="288" w:lineRule="auto"/>
        <w:rPr>
          <w:rFonts w:hint="eastAsia" w:eastAsia="微软雅黑"/>
          <w:kern w:val="0"/>
          <w:lang w:val="en-US" w:eastAsia="zh-CN"/>
        </w:rPr>
      </w:pPr>
      <w:r>
        <w:rPr>
          <w:rFonts w:hint="eastAsia" w:eastAsia="微软雅黑"/>
          <w:kern w:val="0"/>
          <w:lang w:val="en-US" w:eastAsia="zh-CN"/>
        </w:rPr>
        <w:t>In addition, as shown in the above table, RAN2 progressed slowly on the data collection. There are a lot of requirements need to be confirmed by RAN1. Therefore, it</w:t>
      </w:r>
      <w:r>
        <w:rPr>
          <w:rFonts w:hint="default" w:eastAsia="微软雅黑"/>
          <w:kern w:val="0"/>
          <w:lang w:val="en-US" w:eastAsia="zh-CN"/>
        </w:rPr>
        <w:t>’</w:t>
      </w:r>
      <w:r>
        <w:rPr>
          <w:rFonts w:hint="eastAsia" w:eastAsia="微软雅黑"/>
          <w:kern w:val="0"/>
          <w:lang w:val="en-US" w:eastAsia="zh-CN"/>
        </w:rPr>
        <w:t>s better that RAN1 can take a proactive step for the data collection. According to the agreements in RAN2, at least the following requirements need RAN1</w:t>
      </w:r>
      <w:r>
        <w:rPr>
          <w:rFonts w:hint="default" w:eastAsia="微软雅黑"/>
          <w:kern w:val="0"/>
          <w:lang w:val="en-US" w:eastAsia="zh-CN"/>
        </w:rPr>
        <w:t>’</w:t>
      </w:r>
      <w:r>
        <w:rPr>
          <w:rFonts w:hint="eastAsia" w:eastAsia="微软雅黑"/>
          <w:kern w:val="0"/>
          <w:lang w:val="en-US" w:eastAsia="zh-CN"/>
        </w:rPr>
        <w:t>s input:</w:t>
      </w:r>
    </w:p>
    <w:p>
      <w:pPr>
        <w:numPr>
          <w:ilvl w:val="0"/>
          <w:numId w:val="13"/>
        </w:numPr>
        <w:snapToGrid w:val="0"/>
        <w:spacing w:before="72" w:beforeLines="30" w:after="72" w:afterLines="30" w:line="288" w:lineRule="auto"/>
        <w:rPr>
          <w:rFonts w:hint="default" w:eastAsia="微软雅黑"/>
          <w:kern w:val="0"/>
          <w:lang w:val="en-US" w:eastAsia="zh-CN"/>
        </w:rPr>
      </w:pPr>
      <w:r>
        <w:rPr>
          <w:rFonts w:hint="eastAsia" w:eastAsia="微软雅黑"/>
          <w:kern w:val="0"/>
          <w:lang w:val="en-US" w:eastAsia="zh-CN"/>
        </w:rPr>
        <w:t>Report type and content;</w:t>
      </w:r>
    </w:p>
    <w:p>
      <w:pPr>
        <w:numPr>
          <w:ilvl w:val="0"/>
          <w:numId w:val="13"/>
        </w:numPr>
        <w:snapToGrid w:val="0"/>
        <w:spacing w:before="72" w:beforeLines="30" w:after="72" w:afterLines="30" w:line="288" w:lineRule="auto"/>
        <w:rPr>
          <w:rFonts w:hint="default" w:eastAsia="微软雅黑"/>
          <w:kern w:val="0"/>
          <w:lang w:val="en-US" w:eastAsia="zh-CN"/>
        </w:rPr>
      </w:pPr>
      <w:r>
        <w:rPr>
          <w:rFonts w:hint="eastAsia" w:eastAsia="微软雅黑"/>
          <w:kern w:val="0"/>
          <w:lang w:val="en-US" w:eastAsia="zh-CN"/>
        </w:rPr>
        <w:t>Data size per reporting;</w:t>
      </w:r>
    </w:p>
    <w:p>
      <w:pPr>
        <w:numPr>
          <w:ilvl w:val="0"/>
          <w:numId w:val="13"/>
        </w:numPr>
        <w:snapToGrid w:val="0"/>
        <w:spacing w:before="72" w:beforeLines="30" w:after="72" w:afterLines="30" w:line="288" w:lineRule="auto"/>
        <w:rPr>
          <w:rFonts w:hint="default" w:eastAsia="微软雅黑"/>
          <w:kern w:val="0"/>
          <w:lang w:val="en-US" w:eastAsia="zh-CN"/>
        </w:rPr>
      </w:pPr>
      <w:r>
        <w:rPr>
          <w:rFonts w:hint="eastAsia" w:eastAsia="微软雅黑"/>
          <w:kern w:val="0"/>
          <w:lang w:val="en-US" w:eastAsia="zh-CN"/>
        </w:rPr>
        <w:t>Report latency and periodicity;</w:t>
      </w:r>
    </w:p>
    <w:p>
      <w:pPr>
        <w:numPr>
          <w:ilvl w:val="0"/>
          <w:numId w:val="13"/>
        </w:numPr>
        <w:snapToGrid w:val="0"/>
        <w:spacing w:before="72" w:beforeLines="30" w:after="72" w:afterLines="30" w:line="288" w:lineRule="auto"/>
        <w:rPr>
          <w:rFonts w:hint="default" w:eastAsia="微软雅黑"/>
          <w:kern w:val="0"/>
          <w:lang w:val="en-US" w:eastAsia="zh-CN"/>
        </w:rPr>
      </w:pPr>
      <w:r>
        <w:rPr>
          <w:rFonts w:hint="eastAsia" w:eastAsia="微软雅黑"/>
          <w:kern w:val="0"/>
          <w:lang w:val="en-US" w:eastAsia="zh-CN"/>
        </w:rPr>
        <w:t>The amount of data samples.</w:t>
      </w:r>
    </w:p>
    <w:p>
      <w:pPr>
        <w:numPr>
          <w:ilvl w:val="-1"/>
          <w:numId w:val="0"/>
        </w:numPr>
        <w:snapToGrid w:val="0"/>
        <w:spacing w:before="72" w:beforeLines="30" w:after="72" w:afterLines="30" w:line="288" w:lineRule="auto"/>
        <w:ind w:left="0" w:firstLine="0"/>
        <w:rPr>
          <w:rFonts w:hint="eastAsia" w:eastAsia="微软雅黑"/>
          <w:kern w:val="0"/>
          <w:lang w:val="en-US" w:eastAsia="zh-CN"/>
        </w:rPr>
      </w:pPr>
      <w:r>
        <w:rPr>
          <w:rFonts w:hint="eastAsia" w:eastAsia="微软雅黑"/>
          <w:kern w:val="0"/>
          <w:lang w:val="en-US" w:eastAsia="zh-CN"/>
        </w:rPr>
        <w:t>The requirements may be different for various use cases and LCM purposes (e.g., model training, model monitoring or model inference). RAN1 should strive to identify the corresponding requirements and send an LS to RAN2. The following table is suggested to collect the different requirements: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224"/>
        <w:gridCol w:w="972"/>
        <w:gridCol w:w="1284"/>
        <w:gridCol w:w="864"/>
        <w:gridCol w:w="912"/>
        <w:gridCol w:w="1560"/>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Use case</w:t>
            </w:r>
          </w:p>
        </w:tc>
        <w:tc>
          <w:tcPr>
            <w:tcW w:w="122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type</w:t>
            </w:r>
          </w:p>
        </w:tc>
        <w:tc>
          <w:tcPr>
            <w:tcW w:w="972"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content</w:t>
            </w:r>
          </w:p>
        </w:tc>
        <w:tc>
          <w:tcPr>
            <w:tcW w:w="128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Data size per reporting</w:t>
            </w:r>
          </w:p>
        </w:tc>
        <w:tc>
          <w:tcPr>
            <w:tcW w:w="86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latency</w:t>
            </w:r>
          </w:p>
        </w:tc>
        <w:tc>
          <w:tcPr>
            <w:tcW w:w="912"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periodicity</w:t>
            </w:r>
          </w:p>
        </w:tc>
        <w:tc>
          <w:tcPr>
            <w:tcW w:w="1560"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The amount of samples (if applicable)</w:t>
            </w:r>
          </w:p>
        </w:tc>
        <w:tc>
          <w:tcPr>
            <w:tcW w:w="2052"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LCM purposes (e.g., model training, model monitoring or model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22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972"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28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864"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912"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560"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2052" w:type="dxa"/>
          </w:tcPr>
          <w:p>
            <w:pPr>
              <w:widowControl w:val="0"/>
              <w:numPr>
                <w:ilvl w:val="-1"/>
                <w:numId w:val="0"/>
              </w:numPr>
              <w:snapToGrid w:val="0"/>
              <w:spacing w:before="72" w:beforeLines="30" w:after="72" w:afterLines="30" w:line="288" w:lineRule="auto"/>
              <w:rPr>
                <w:rFonts w:hint="default" w:eastAsia="微软雅黑"/>
                <w:kern w:val="0"/>
                <w:vertAlign w:val="baseline"/>
                <w:lang w:val="en-US" w:eastAsia="zh-CN"/>
              </w:rPr>
            </w:pPr>
          </w:p>
        </w:tc>
      </w:tr>
    </w:tbl>
    <w:p>
      <w:pPr>
        <w:pStyle w:val="23"/>
        <w:snapToGrid w:val="0"/>
        <w:spacing w:before="72" w:beforeLines="30" w:after="72" w:afterLines="30" w:line="288" w:lineRule="auto"/>
        <w:rPr>
          <w:rFonts w:hint="eastAsia" w:eastAsiaTheme="minorEastAsia"/>
          <w:kern w:val="2"/>
          <w:lang w:val="en-US" w:eastAsia="zh-CN"/>
        </w:rPr>
      </w:pPr>
      <w:bookmarkStart w:id="9" w:name="_Toc17550"/>
      <w:r>
        <w:rPr>
          <w:rFonts w:hint="eastAsia" w:eastAsiaTheme="minorEastAsia"/>
          <w:kern w:val="2"/>
          <w:lang w:val="en-US" w:eastAsia="zh-CN"/>
        </w:rPr>
        <w:t xml:space="preserve">Send LS to RAN2 about the identified requirements in RAN1 </w:t>
      </w:r>
      <w:r>
        <w:rPr>
          <w:rFonts w:hint="eastAsia"/>
          <w:kern w:val="2"/>
          <w:lang w:val="en-US" w:eastAsia="zh-CN"/>
        </w:rPr>
        <w:t xml:space="preserve">on data collection </w:t>
      </w:r>
      <w:r>
        <w:rPr>
          <w:rFonts w:hint="eastAsia" w:eastAsiaTheme="minorEastAsia"/>
          <w:kern w:val="2"/>
          <w:lang w:val="en-US" w:eastAsia="zh-CN"/>
        </w:rPr>
        <w:t>for various use cases and LCM purposes, at leas</w:t>
      </w:r>
      <w:r>
        <w:rPr>
          <w:rFonts w:hint="eastAsia"/>
          <w:kern w:val="2"/>
          <w:lang w:val="en-US" w:eastAsia="zh-CN"/>
        </w:rPr>
        <w:t>t</w:t>
      </w:r>
      <w:r>
        <w:rPr>
          <w:rFonts w:hint="eastAsia" w:eastAsiaTheme="minorEastAsia"/>
          <w:kern w:val="2"/>
          <w:lang w:val="en-US" w:eastAsia="zh-CN"/>
        </w:rPr>
        <w:t xml:space="preserve"> consider the following aspects:</w:t>
      </w:r>
      <w:bookmarkEnd w:id="9"/>
    </w:p>
    <w:p>
      <w:pPr>
        <w:pStyle w:val="26"/>
        <w:numPr>
          <w:ilvl w:val="0"/>
          <w:numId w:val="13"/>
        </w:numPr>
        <w:snapToGrid w:val="0"/>
        <w:spacing w:before="72" w:beforeLines="30" w:after="72" w:afterLines="30" w:line="288" w:lineRule="auto"/>
        <w:rPr>
          <w:rFonts w:hint="default" w:eastAsia="宋体"/>
          <w:kern w:val="0"/>
          <w:lang w:val="en-US" w:eastAsia="zh-CN"/>
        </w:rPr>
      </w:pPr>
      <w:bookmarkStart w:id="10" w:name="_Toc13331"/>
      <w:r>
        <w:rPr>
          <w:rFonts w:hint="default" w:eastAsia="宋体"/>
          <w:kern w:val="0"/>
          <w:lang w:val="en-US" w:eastAsia="zh-CN"/>
        </w:rPr>
        <w:t>Report type and content;</w:t>
      </w:r>
      <w:bookmarkEnd w:id="10"/>
    </w:p>
    <w:p>
      <w:pPr>
        <w:pStyle w:val="26"/>
        <w:numPr>
          <w:ilvl w:val="0"/>
          <w:numId w:val="13"/>
        </w:numPr>
        <w:snapToGrid w:val="0"/>
        <w:spacing w:before="72" w:beforeLines="30" w:after="72" w:afterLines="30" w:line="288" w:lineRule="auto"/>
        <w:ind w:left="0" w:firstLine="0"/>
        <w:rPr>
          <w:rFonts w:hint="default" w:eastAsia="宋体"/>
          <w:kern w:val="0"/>
          <w:lang w:val="en-US" w:eastAsia="zh-CN"/>
        </w:rPr>
      </w:pPr>
      <w:bookmarkStart w:id="11" w:name="_Toc32663"/>
      <w:r>
        <w:rPr>
          <w:rFonts w:hint="default" w:eastAsia="宋体"/>
          <w:kern w:val="0"/>
          <w:lang w:val="en-US" w:eastAsia="zh-CN"/>
        </w:rPr>
        <w:t>Data size per reporting;</w:t>
      </w:r>
      <w:bookmarkEnd w:id="11"/>
    </w:p>
    <w:p>
      <w:pPr>
        <w:pStyle w:val="26"/>
        <w:numPr>
          <w:ilvl w:val="0"/>
          <w:numId w:val="13"/>
        </w:numPr>
        <w:snapToGrid w:val="0"/>
        <w:spacing w:before="72" w:beforeLines="30" w:after="72" w:afterLines="30" w:line="288" w:lineRule="auto"/>
        <w:ind w:left="0" w:firstLine="0"/>
        <w:rPr>
          <w:rFonts w:hint="default" w:eastAsia="宋体"/>
          <w:kern w:val="0"/>
          <w:lang w:val="en-US" w:eastAsia="zh-CN"/>
        </w:rPr>
      </w:pPr>
      <w:bookmarkStart w:id="12" w:name="_Toc12547"/>
      <w:r>
        <w:rPr>
          <w:rFonts w:hint="default" w:eastAsia="宋体"/>
          <w:kern w:val="0"/>
          <w:lang w:val="en-US" w:eastAsia="zh-CN"/>
        </w:rPr>
        <w:t>Report latency and periodicity;</w:t>
      </w:r>
      <w:bookmarkEnd w:id="12"/>
    </w:p>
    <w:p>
      <w:pPr>
        <w:pStyle w:val="26"/>
        <w:numPr>
          <w:ilvl w:val="0"/>
          <w:numId w:val="13"/>
        </w:numPr>
        <w:snapToGrid w:val="0"/>
        <w:spacing w:before="72" w:beforeLines="30" w:after="72" w:afterLines="30" w:line="288" w:lineRule="auto"/>
        <w:rPr>
          <w:rFonts w:hint="default" w:eastAsia="宋体"/>
          <w:kern w:val="0"/>
          <w:lang w:val="en-US" w:eastAsia="zh-CN"/>
        </w:rPr>
      </w:pPr>
      <w:bookmarkStart w:id="13" w:name="_Toc31305"/>
      <w:r>
        <w:rPr>
          <w:rFonts w:hint="default" w:eastAsia="宋体"/>
          <w:kern w:val="0"/>
          <w:lang w:val="en-US" w:eastAsia="zh-CN"/>
        </w:rPr>
        <w:t>The amount of data samples.</w:t>
      </w:r>
      <w:bookmarkEnd w:id="13"/>
    </w:p>
    <w:p>
      <w:pPr>
        <w:pStyle w:val="26"/>
        <w:numPr>
          <w:ilvl w:val="0"/>
          <w:numId w:val="13"/>
        </w:numPr>
        <w:snapToGrid w:val="0"/>
        <w:spacing w:before="72" w:beforeLines="30" w:after="72" w:afterLines="30" w:line="288" w:lineRule="auto"/>
        <w:rPr>
          <w:rFonts w:hint="default" w:eastAsia="宋体"/>
          <w:kern w:val="0"/>
          <w:lang w:val="en-US" w:eastAsia="zh-CN"/>
        </w:rPr>
      </w:pPr>
      <w:bookmarkStart w:id="14" w:name="_Toc31114"/>
      <w:r>
        <w:rPr>
          <w:rFonts w:hint="default" w:eastAsia="宋体"/>
          <w:kern w:val="0"/>
          <w:lang w:val="en-US" w:eastAsia="zh-CN"/>
        </w:rPr>
        <w:t>Note: the following table can be adopted for collecting the requirements:</w:t>
      </w:r>
      <w:bookmarkEnd w:id="14"/>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224"/>
        <w:gridCol w:w="972"/>
        <w:gridCol w:w="1284"/>
        <w:gridCol w:w="864"/>
        <w:gridCol w:w="912"/>
        <w:gridCol w:w="1560"/>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Use case</w:t>
            </w:r>
          </w:p>
        </w:tc>
        <w:tc>
          <w:tcPr>
            <w:tcW w:w="122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type</w:t>
            </w:r>
          </w:p>
        </w:tc>
        <w:tc>
          <w:tcPr>
            <w:tcW w:w="97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content</w:t>
            </w:r>
          </w:p>
        </w:tc>
        <w:tc>
          <w:tcPr>
            <w:tcW w:w="128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Data size per reporting</w:t>
            </w:r>
          </w:p>
        </w:tc>
        <w:tc>
          <w:tcPr>
            <w:tcW w:w="86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latency</w:t>
            </w:r>
          </w:p>
        </w:tc>
        <w:tc>
          <w:tcPr>
            <w:tcW w:w="91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periodicity</w:t>
            </w:r>
          </w:p>
        </w:tc>
        <w:tc>
          <w:tcPr>
            <w:tcW w:w="1560"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The amount of samples (if applicable)</w:t>
            </w:r>
          </w:p>
        </w:tc>
        <w:tc>
          <w:tcPr>
            <w:tcW w:w="205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LCM purposes (e.g., model training, model monitoring or model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22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97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28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86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91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560"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205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r>
    </w:tbl>
    <w:p>
      <w:pPr>
        <w:numPr>
          <w:ilvl w:val="-1"/>
          <w:numId w:val="0"/>
        </w:numPr>
        <w:snapToGrid w:val="0"/>
        <w:spacing w:before="72" w:beforeLines="30" w:after="72" w:afterLines="30" w:line="288" w:lineRule="auto"/>
        <w:ind w:left="0" w:firstLine="0"/>
        <w:rPr>
          <w:rFonts w:hint="default" w:eastAsia="微软雅黑"/>
          <w:kern w:val="0"/>
          <w:lang w:val="en-US" w:eastAsia="zh-CN"/>
        </w:rPr>
      </w:pPr>
      <w:r>
        <w:rPr>
          <w:rFonts w:hint="eastAsia" w:eastAsia="微软雅黑"/>
          <w:kern w:val="0"/>
          <w:lang w:val="en-US" w:eastAsia="zh-CN"/>
        </w:rPr>
        <w:t>Moreover</w:t>
      </w:r>
      <w:r>
        <w:rPr>
          <w:rFonts w:eastAsia="微软雅黑"/>
          <w:kern w:val="0"/>
        </w:rPr>
        <w:t xml:space="preserve">, </w:t>
      </w:r>
      <w:r>
        <w:rPr>
          <w:rFonts w:hint="eastAsia" w:eastAsia="微软雅黑"/>
          <w:kern w:val="0"/>
        </w:rPr>
        <w:t>how to categorize the collected data was also discussed</w:t>
      </w:r>
      <w:r>
        <w:rPr>
          <w:rFonts w:eastAsia="微软雅黑"/>
          <w:kern w:val="0"/>
        </w:rPr>
        <w:t>.</w:t>
      </w:r>
      <w:r>
        <w:rPr>
          <w:rFonts w:hint="eastAsia" w:eastAsia="微软雅黑"/>
          <w:kern w:val="0"/>
        </w:rPr>
        <w:t xml:space="preserve"> For example,</w:t>
      </w:r>
      <w:r>
        <w:rPr>
          <w:rFonts w:eastAsia="微软雅黑"/>
          <w:kern w:val="0"/>
        </w:rPr>
        <w:t xml:space="preserve"> in CSI </w:t>
      </w:r>
      <w:r>
        <w:rPr>
          <w:rFonts w:hint="eastAsia" w:eastAsia="微软雅黑"/>
          <w:kern w:val="0"/>
        </w:rPr>
        <w:t xml:space="preserve">compression </w:t>
      </w:r>
      <w:r>
        <w:rPr>
          <w:rFonts w:eastAsia="微软雅黑"/>
          <w:kern w:val="0"/>
        </w:rPr>
        <w:t xml:space="preserve">use case, Type 3 training method for two-sided model </w:t>
      </w:r>
      <w:r>
        <w:rPr>
          <w:rFonts w:hint="eastAsia" w:eastAsia="微软雅黑"/>
          <w:kern w:val="0"/>
        </w:rPr>
        <w:t>needs</w:t>
      </w:r>
      <w:r>
        <w:rPr>
          <w:rFonts w:eastAsia="微软雅黑"/>
          <w:kern w:val="0"/>
        </w:rPr>
        <w:t xml:space="preserve"> dataset delivery between UE side and network side. </w:t>
      </w:r>
      <w:r>
        <w:rPr>
          <w:rFonts w:hint="eastAsia" w:eastAsia="微软雅黑"/>
          <w:kern w:val="0"/>
          <w:lang w:val="en-US" w:eastAsia="zh-CN"/>
        </w:rPr>
        <w:t>To be more specific</w:t>
      </w:r>
      <w:r>
        <w:rPr>
          <w:rFonts w:eastAsia="微软雅黑"/>
          <w:kern w:val="0"/>
        </w:rPr>
        <w:t xml:space="preserve">, gNB-first training requires network to provide a dataset, including labels and intermediate results, to UE side. Then, </w:t>
      </w:r>
      <w:r>
        <w:rPr>
          <w:rFonts w:hint="eastAsia" w:eastAsia="微软雅黑"/>
          <w:kern w:val="0"/>
        </w:rPr>
        <w:t xml:space="preserve">the </w:t>
      </w:r>
      <w:r>
        <w:rPr>
          <w:rFonts w:eastAsia="微软雅黑"/>
          <w:kern w:val="0"/>
        </w:rPr>
        <w:t xml:space="preserve">UE side will train a CSI generation part </w:t>
      </w:r>
      <w:r>
        <w:rPr>
          <w:rFonts w:hint="eastAsia" w:eastAsia="微软雅黑"/>
          <w:kern w:val="0"/>
        </w:rPr>
        <w:t xml:space="preserve">based </w:t>
      </w:r>
      <w:r>
        <w:rPr>
          <w:rFonts w:eastAsia="微软雅黑"/>
          <w:kern w:val="0"/>
        </w:rPr>
        <w:t xml:space="preserve">on the </w:t>
      </w:r>
      <w:r>
        <w:rPr>
          <w:rFonts w:hint="eastAsia" w:eastAsia="微软雅黑"/>
          <w:kern w:val="0"/>
        </w:rPr>
        <w:t xml:space="preserve">delivered </w:t>
      </w:r>
      <w:r>
        <w:rPr>
          <w:rFonts w:eastAsia="微软雅黑"/>
          <w:kern w:val="0"/>
        </w:rPr>
        <w:t>dataset. After that,</w:t>
      </w:r>
      <w:r>
        <w:rPr>
          <w:rFonts w:hint="eastAsia" w:eastAsia="微软雅黑"/>
          <w:kern w:val="0"/>
        </w:rPr>
        <w:t xml:space="preserve"> the</w:t>
      </w:r>
      <w:r>
        <w:rPr>
          <w:rFonts w:eastAsia="微软雅黑"/>
          <w:kern w:val="0"/>
        </w:rPr>
        <w:t xml:space="preserve"> UE may inform the available CSI generation part </w:t>
      </w:r>
      <w:r>
        <w:rPr>
          <w:rFonts w:hint="eastAsia" w:eastAsia="微软雅黑"/>
          <w:kern w:val="0"/>
        </w:rPr>
        <w:t xml:space="preserve">to network </w:t>
      </w:r>
      <w:r>
        <w:rPr>
          <w:rFonts w:eastAsia="微软雅黑"/>
          <w:kern w:val="0"/>
        </w:rPr>
        <w:t>via model</w:t>
      </w:r>
      <w:r>
        <w:rPr>
          <w:rFonts w:hint="eastAsia" w:eastAsia="微软雅黑"/>
          <w:kern w:val="0"/>
        </w:rPr>
        <w:t>/functionality</w:t>
      </w:r>
      <w:r>
        <w:rPr>
          <w:rFonts w:eastAsia="微软雅黑"/>
          <w:kern w:val="0"/>
        </w:rPr>
        <w:t xml:space="preserve"> identification</w:t>
      </w:r>
      <w:r>
        <w:rPr>
          <w:rFonts w:hint="eastAsia" w:eastAsia="微软雅黑"/>
          <w:kern w:val="0"/>
        </w:rPr>
        <w:t xml:space="preserve"> process</w:t>
      </w:r>
      <w:r>
        <w:rPr>
          <w:rFonts w:eastAsia="微软雅黑"/>
          <w:kern w:val="0"/>
        </w:rPr>
        <w:t>. During model</w:t>
      </w:r>
      <w:r>
        <w:rPr>
          <w:rFonts w:hint="eastAsia" w:eastAsia="微软雅黑"/>
          <w:kern w:val="0"/>
        </w:rPr>
        <w:t>/functionality</w:t>
      </w:r>
      <w:r>
        <w:rPr>
          <w:rFonts w:eastAsia="微软雅黑"/>
          <w:kern w:val="0"/>
        </w:rPr>
        <w:t xml:space="preserve"> identification, </w:t>
      </w:r>
      <w:r>
        <w:rPr>
          <w:rFonts w:hint="eastAsia" w:eastAsia="微软雅黑"/>
          <w:kern w:val="0"/>
        </w:rPr>
        <w:t xml:space="preserve">the </w:t>
      </w:r>
      <w:r>
        <w:rPr>
          <w:rFonts w:eastAsia="微软雅黑"/>
          <w:kern w:val="0"/>
        </w:rPr>
        <w:t>UE should disclose which dataset has been use</w:t>
      </w:r>
      <w:r>
        <w:rPr>
          <w:rFonts w:hint="eastAsia" w:eastAsia="微软雅黑"/>
          <w:kern w:val="0"/>
        </w:rPr>
        <w:t>d</w:t>
      </w:r>
      <w:r>
        <w:rPr>
          <w:rFonts w:eastAsia="微软雅黑"/>
          <w:kern w:val="0"/>
        </w:rPr>
        <w:t xml:space="preserve"> for training the CSI generation part</w:t>
      </w:r>
      <w:r>
        <w:rPr>
          <w:rFonts w:hint="eastAsia" w:eastAsia="微软雅黑"/>
          <w:kern w:val="0"/>
        </w:rPr>
        <w:t xml:space="preserve"> to facilitate</w:t>
      </w:r>
      <w:r>
        <w:rPr>
          <w:rFonts w:hint="eastAsia" w:eastAsia="宋体"/>
          <w:kern w:val="0"/>
        </w:rPr>
        <w:t xml:space="preserve"> </w:t>
      </w:r>
      <w:r>
        <w:rPr>
          <w:rFonts w:eastAsia="微软雅黑"/>
          <w:kern w:val="0"/>
        </w:rPr>
        <w:t>network to choose corresponding CSI reconstruction part.</w:t>
      </w:r>
      <w:r>
        <w:rPr>
          <w:rFonts w:hint="eastAsia" w:eastAsia="微软雅黑"/>
          <w:kern w:val="0"/>
        </w:rPr>
        <w:t xml:space="preserve"> </w:t>
      </w:r>
    </w:p>
    <w:p>
      <w:pPr>
        <w:pStyle w:val="25"/>
        <w:spacing w:before="72" w:after="72"/>
      </w:pPr>
      <w:bookmarkStart w:id="15" w:name="_Hlk127436215"/>
      <w:r>
        <w:t xml:space="preserve"> </w:t>
      </w:r>
      <w:bookmarkStart w:id="16" w:name="_Toc23308"/>
      <w:bookmarkStart w:id="17" w:name="_Toc109"/>
      <w:bookmarkStart w:id="18" w:name="_Toc131690089"/>
      <w:bookmarkStart w:id="19" w:name="_Toc15586"/>
      <w:r>
        <w:t xml:space="preserve">For Type 3 training </w:t>
      </w:r>
      <w:r>
        <w:rPr>
          <w:rFonts w:hint="eastAsia"/>
          <w:lang w:val="en-US" w:eastAsia="zh-CN"/>
        </w:rPr>
        <w:t xml:space="preserve">collaboration </w:t>
      </w:r>
      <w:r>
        <w:t xml:space="preserve">of a two-sided model, </w:t>
      </w:r>
      <w:r>
        <w:rPr>
          <w:rFonts w:hint="eastAsia"/>
          <w:lang w:val="en-US" w:eastAsia="zh-CN"/>
        </w:rPr>
        <w:t>common understanding on the dataset used for model training is necessary, which can facilitate the pairing of CSI generation part and CSI reconstruction part.</w:t>
      </w:r>
      <w:bookmarkEnd w:id="16"/>
      <w:bookmarkEnd w:id="17"/>
      <w:bookmarkEnd w:id="18"/>
      <w:bookmarkEnd w:id="19"/>
    </w:p>
    <w:bookmarkEnd w:id="15"/>
    <w:p>
      <w:pPr>
        <w:snapToGrid w:val="0"/>
        <w:spacing w:before="72" w:beforeLines="30" w:after="72" w:afterLines="30" w:line="288" w:lineRule="auto"/>
        <w:rPr>
          <w:rFonts w:eastAsia="微软雅黑"/>
          <w:kern w:val="0"/>
        </w:rPr>
      </w:pPr>
      <w:r>
        <w:rPr>
          <w:rFonts w:hint="eastAsia" w:eastAsia="微软雅黑"/>
          <w:kern w:val="0"/>
        </w:rPr>
        <w:t>In addition, for a specific model/functionality, align the same understanding on the dataset used for model training can be useful for testing/monitoring the model performance</w:t>
      </w:r>
      <w:r>
        <w:rPr>
          <w:rFonts w:eastAsia="微软雅黑"/>
          <w:kern w:val="0"/>
        </w:rPr>
        <w:t xml:space="preserve"> </w:t>
      </w:r>
      <w:r>
        <w:rPr>
          <w:rFonts w:hint="eastAsia" w:eastAsia="微软雅黑"/>
          <w:kern w:val="0"/>
        </w:rPr>
        <w:t xml:space="preserve">(i.e., the dataset implicitly defines the test vector for the model/functionality). This is applicable to both UE-side model and UE-part model of a two-sided model. </w:t>
      </w:r>
      <w:r>
        <w:rPr>
          <w:rFonts w:hint="eastAsia" w:eastAsia="微软雅黑"/>
          <w:kern w:val="0"/>
          <w:lang w:val="en-US" w:eastAsia="zh-CN"/>
        </w:rPr>
        <w:t>N</w:t>
      </w:r>
      <w:r>
        <w:rPr>
          <w:rFonts w:hint="eastAsia" w:eastAsia="微软雅黑"/>
          <w:kern w:val="0"/>
        </w:rPr>
        <w:t xml:space="preserve">etwork can provide a dataset (with ground-truth label) to verify the performance of a model/functionality. Moreover, </w:t>
      </w:r>
      <w:r>
        <w:rPr>
          <w:rFonts w:hint="eastAsia" w:eastAsia="微软雅黑"/>
          <w:kern w:val="0"/>
          <w:lang w:val="en-US" w:eastAsia="zh-CN"/>
        </w:rPr>
        <w:t xml:space="preserve">consider </w:t>
      </w:r>
      <w:r>
        <w:rPr>
          <w:rFonts w:hint="eastAsia" w:eastAsia="微软雅黑"/>
          <w:kern w:val="0"/>
        </w:rPr>
        <w:t>companies have strong concerns to disclose proprietary information. Therefore, during the data collection, the dataset ID can avoid sharing the proprietary information explicitly across vendors (e.g., codebook implementation, antenna patterns</w:t>
      </w:r>
      <w:r>
        <w:rPr>
          <w:rFonts w:hint="eastAsia" w:eastAsia="微软雅黑"/>
          <w:kern w:val="0"/>
          <w:lang w:val="en-US" w:eastAsia="zh-CN"/>
        </w:rPr>
        <w:t>,</w:t>
      </w:r>
      <w:r>
        <w:rPr>
          <w:rFonts w:hint="eastAsia" w:eastAsia="微软雅黑"/>
          <w:kern w:val="0"/>
        </w:rPr>
        <w:t xml:space="preserve"> and Rx beam information). In this way, the applicable conditions of the model/functionality can be implicitly indicated by the dataset used for model training. Furthermore, the dataset may need to identified a global </w:t>
      </w:r>
      <w:r>
        <w:rPr>
          <w:rFonts w:eastAsia="微软雅黑"/>
          <w:kern w:val="0"/>
        </w:rPr>
        <w:t>‘</w:t>
      </w:r>
      <w:r>
        <w:rPr>
          <w:rFonts w:hint="eastAsia" w:eastAsia="微软雅黑"/>
          <w:kern w:val="0"/>
        </w:rPr>
        <w:t>unique</w:t>
      </w:r>
      <w:r>
        <w:rPr>
          <w:rFonts w:eastAsia="微软雅黑"/>
          <w:kern w:val="0"/>
        </w:rPr>
        <w:t>’</w:t>
      </w:r>
      <w:r>
        <w:rPr>
          <w:rFonts w:hint="eastAsia" w:eastAsia="微软雅黑"/>
          <w:kern w:val="0"/>
        </w:rPr>
        <w:t xml:space="preserve"> ID so that the ID can be used across UEs/networks.</w:t>
      </w:r>
    </w:p>
    <w:p>
      <w:pPr>
        <w:pStyle w:val="25"/>
        <w:spacing w:before="72" w:after="72"/>
        <w:jc w:val="both"/>
      </w:pPr>
      <w:r>
        <w:t xml:space="preserve"> </w:t>
      </w:r>
      <w:bookmarkStart w:id="20" w:name="_Toc131690090"/>
      <w:bookmarkStart w:id="21" w:name="_Toc10670"/>
      <w:bookmarkStart w:id="22" w:name="_Toc8726"/>
      <w:bookmarkStart w:id="23" w:name="_Toc18139"/>
      <w:r>
        <w:rPr>
          <w:rFonts w:hint="eastAsia"/>
          <w:lang w:val="en-US" w:eastAsia="zh-CN"/>
        </w:rPr>
        <w:t>Dataset alignment between UE and network can be used for testing/monitoring the model/functionality performance.</w:t>
      </w:r>
      <w:bookmarkEnd w:id="20"/>
      <w:bookmarkEnd w:id="21"/>
      <w:bookmarkEnd w:id="22"/>
      <w:bookmarkEnd w:id="23"/>
    </w:p>
    <w:p>
      <w:pPr>
        <w:pStyle w:val="25"/>
        <w:spacing w:before="72" w:after="72"/>
        <w:jc w:val="both"/>
      </w:pPr>
      <w:r>
        <w:t xml:space="preserve"> </w:t>
      </w:r>
      <w:bookmarkStart w:id="24" w:name="_Toc131690091"/>
      <w:bookmarkStart w:id="25" w:name="_Toc8610"/>
      <w:bookmarkStart w:id="26" w:name="_Toc24656"/>
      <w:bookmarkStart w:id="27" w:name="_Toc19604"/>
      <w:r>
        <w:rPr>
          <w:rFonts w:hint="eastAsia"/>
          <w:lang w:val="en-US" w:eastAsia="zh-CN"/>
        </w:rPr>
        <w:t>Dataset ID can avoid sharing the proprietary information explicitly across vendors during data collection.</w:t>
      </w:r>
      <w:bookmarkEnd w:id="24"/>
      <w:bookmarkEnd w:id="25"/>
      <w:bookmarkEnd w:id="26"/>
      <w:bookmarkEnd w:id="27"/>
    </w:p>
    <w:p>
      <w:pPr>
        <w:keepNext w:val="0"/>
        <w:keepLines w:val="0"/>
        <w:pageBreakBefore w:val="0"/>
        <w:widowControl/>
        <w:kinsoku/>
        <w:wordWrap/>
        <w:overflowPunct/>
        <w:topLinePunct w:val="0"/>
        <w:autoSpaceDE/>
        <w:autoSpaceDN/>
        <w:bidi w:val="0"/>
        <w:adjustRightInd/>
        <w:spacing w:before="82" w:beforeLines="30" w:after="82" w:afterLines="30" w:line="288" w:lineRule="auto"/>
        <w:textAlignment w:val="auto"/>
        <w:rPr>
          <w:rFonts w:eastAsia="微软雅黑"/>
          <w:kern w:val="0"/>
        </w:rPr>
      </w:pPr>
      <w:r>
        <w:rPr>
          <w:rFonts w:eastAsia="微软雅黑"/>
          <w:kern w:val="0"/>
        </w:rPr>
        <w:t xml:space="preserve">In RAN1#111, the description for model identification </w:t>
      </w:r>
      <w:r>
        <w:rPr>
          <w:rFonts w:hint="eastAsia" w:eastAsia="微软雅黑"/>
          <w:kern w:val="0"/>
        </w:rPr>
        <w:t>and functionality identification were</w:t>
      </w:r>
      <w:r>
        <w:rPr>
          <w:rFonts w:eastAsia="微软雅黑"/>
          <w:kern w:val="0"/>
        </w:rPr>
        <w:t xml:space="preserve"> agreed. In our view, the dataset delivery should also reuse such kind of mechanisms, which is to align common understanding between NW and UE. </w:t>
      </w:r>
      <w:r>
        <w:rPr>
          <w:kern w:val="0"/>
        </w:rPr>
        <w:t>Therefore, we propose a similar definition for dataset identification:</w:t>
      </w:r>
    </w:p>
    <w:p>
      <w:pPr>
        <w:keepNext w:val="0"/>
        <w:keepLines w:val="0"/>
        <w:pageBreakBefore w:val="0"/>
        <w:widowControl/>
        <w:numPr>
          <w:ilvl w:val="0"/>
          <w:numId w:val="14"/>
        </w:numPr>
        <w:kinsoku/>
        <w:wordWrap/>
        <w:overflowPunct/>
        <w:topLinePunct w:val="0"/>
        <w:autoSpaceDE/>
        <w:autoSpaceDN/>
        <w:bidi w:val="0"/>
        <w:adjustRightInd/>
        <w:snapToGrid w:val="0"/>
        <w:spacing w:before="82" w:beforeLines="30" w:after="82" w:afterLines="30" w:line="288" w:lineRule="auto"/>
        <w:textAlignment w:val="auto"/>
        <w:rPr>
          <w:rFonts w:eastAsia="微软雅黑"/>
          <w:kern w:val="0"/>
          <w:lang w:val="en-GB" w:eastAsia="en-US"/>
        </w:rPr>
      </w:pPr>
      <w:r>
        <w:rPr>
          <w:rFonts w:eastAsia="微软雅黑"/>
          <w:kern w:val="0"/>
          <w:lang w:val="en-GB" w:eastAsia="en-US"/>
        </w:rPr>
        <w:t>A process/method of identifying a</w:t>
      </w:r>
      <w:r>
        <w:rPr>
          <w:rFonts w:eastAsia="微软雅黑"/>
          <w:kern w:val="0"/>
        </w:rPr>
        <w:t xml:space="preserve"> dataset</w:t>
      </w:r>
      <w:r>
        <w:rPr>
          <w:rFonts w:eastAsia="微软雅黑"/>
          <w:kern w:val="0"/>
          <w:lang w:val="en-GB" w:eastAsia="en-US"/>
        </w:rPr>
        <w:t xml:space="preserve"> for the common understanding between the NW and the UE</w:t>
      </w:r>
    </w:p>
    <w:p>
      <w:pPr>
        <w:keepNext w:val="0"/>
        <w:keepLines w:val="0"/>
        <w:pageBreakBefore w:val="0"/>
        <w:widowControl/>
        <w:numPr>
          <w:ilvl w:val="0"/>
          <w:numId w:val="14"/>
        </w:numPr>
        <w:kinsoku/>
        <w:wordWrap/>
        <w:overflowPunct/>
        <w:topLinePunct w:val="0"/>
        <w:autoSpaceDE/>
        <w:autoSpaceDN/>
        <w:bidi w:val="0"/>
        <w:adjustRightInd/>
        <w:snapToGrid w:val="0"/>
        <w:spacing w:before="82" w:beforeLines="30" w:after="82" w:afterLines="30" w:line="288" w:lineRule="auto"/>
        <w:textAlignment w:val="auto"/>
        <w:rPr>
          <w:rFonts w:eastAsia="微软雅黑"/>
          <w:kern w:val="0"/>
          <w:lang w:val="en-GB" w:eastAsia="en-US"/>
        </w:rPr>
      </w:pPr>
      <w:r>
        <w:rPr>
          <w:rFonts w:eastAsia="微软雅黑"/>
          <w:kern w:val="0"/>
          <w:lang w:val="en-GB" w:eastAsia="en-US"/>
        </w:rPr>
        <w:t xml:space="preserve">Note: The process/method of </w:t>
      </w:r>
      <w:r>
        <w:rPr>
          <w:rFonts w:eastAsia="微软雅黑"/>
          <w:kern w:val="0"/>
        </w:rPr>
        <w:t>dataset</w:t>
      </w:r>
      <w:r>
        <w:rPr>
          <w:rFonts w:eastAsia="微软雅黑"/>
          <w:kern w:val="0"/>
          <w:lang w:val="en-GB" w:eastAsia="en-US"/>
        </w:rPr>
        <w:t xml:space="preserve"> identification may or may not be applicable.</w:t>
      </w:r>
    </w:p>
    <w:p>
      <w:pPr>
        <w:keepNext w:val="0"/>
        <w:keepLines w:val="0"/>
        <w:pageBreakBefore w:val="0"/>
        <w:widowControl/>
        <w:numPr>
          <w:ilvl w:val="0"/>
          <w:numId w:val="14"/>
        </w:numPr>
        <w:kinsoku/>
        <w:wordWrap/>
        <w:overflowPunct/>
        <w:topLinePunct w:val="0"/>
        <w:autoSpaceDE/>
        <w:autoSpaceDN/>
        <w:bidi w:val="0"/>
        <w:adjustRightInd/>
        <w:snapToGrid w:val="0"/>
        <w:spacing w:before="82" w:beforeLines="30" w:after="82" w:afterLines="30" w:line="288" w:lineRule="auto"/>
        <w:textAlignment w:val="auto"/>
        <w:rPr>
          <w:rFonts w:eastAsia="微软雅黑"/>
          <w:kern w:val="0"/>
        </w:rPr>
      </w:pPr>
      <w:r>
        <w:rPr>
          <w:rFonts w:eastAsia="微软雅黑"/>
          <w:kern w:val="0"/>
          <w:lang w:val="en-GB" w:eastAsia="en-US"/>
        </w:rPr>
        <w:t xml:space="preserve">Note: Information regarding the </w:t>
      </w:r>
      <w:r>
        <w:rPr>
          <w:rFonts w:eastAsia="微软雅黑"/>
          <w:kern w:val="0"/>
        </w:rPr>
        <w:t>dataset</w:t>
      </w:r>
      <w:r>
        <w:rPr>
          <w:rFonts w:eastAsia="微软雅黑"/>
          <w:kern w:val="0"/>
          <w:lang w:val="en-GB" w:eastAsia="en-US"/>
        </w:rPr>
        <w:t xml:space="preserve"> may be shared during </w:t>
      </w:r>
      <w:r>
        <w:rPr>
          <w:rFonts w:eastAsia="微软雅黑"/>
          <w:kern w:val="0"/>
        </w:rPr>
        <w:t>dataset</w:t>
      </w:r>
      <w:r>
        <w:rPr>
          <w:rFonts w:eastAsia="微软雅黑"/>
          <w:kern w:val="0"/>
          <w:lang w:val="en-GB" w:eastAsia="en-US"/>
        </w:rPr>
        <w:t xml:space="preserve"> identification.</w:t>
      </w:r>
    </w:p>
    <w:p>
      <w:pPr>
        <w:pStyle w:val="23"/>
        <w:spacing w:before="72" w:after="72"/>
        <w:rPr>
          <w:lang w:val="en-US"/>
        </w:rPr>
      </w:pPr>
      <w:r>
        <w:rPr>
          <w:rFonts w:hint="eastAsia"/>
          <w:lang w:val="en-US"/>
        </w:rPr>
        <w:t xml:space="preserve"> </w:t>
      </w:r>
      <w:bookmarkStart w:id="28" w:name="_Toc17199"/>
      <w:bookmarkStart w:id="29" w:name="_Toc30690"/>
      <w:bookmarkStart w:id="30" w:name="_Toc5847"/>
      <w:bookmarkStart w:id="31" w:name="_Toc20345"/>
      <w:r>
        <w:rPr>
          <w:rFonts w:hint="eastAsia"/>
          <w:lang w:val="en-US"/>
        </w:rPr>
        <w:t>For the purpose of identifying a dataset between network side and UE side, further define the following terminology:</w:t>
      </w:r>
      <w:bookmarkEnd w:id="28"/>
      <w:bookmarkEnd w:id="29"/>
      <w:bookmarkEnd w:id="30"/>
      <w:bookmarkEnd w:id="31"/>
    </w:p>
    <w:p>
      <w:pPr>
        <w:pStyle w:val="26"/>
        <w:spacing w:before="72" w:after="72"/>
      </w:pPr>
      <w:bookmarkStart w:id="32" w:name="_Toc16764"/>
      <w:bookmarkStart w:id="33" w:name="_Toc13760"/>
      <w:bookmarkStart w:id="34" w:name="_Toc25542"/>
      <w:bookmarkStart w:id="35" w:name="_Toc2357"/>
      <w:r>
        <w:rPr>
          <w:rFonts w:eastAsia="宋体"/>
          <w:kern w:val="0"/>
        </w:rPr>
        <w:t>Dataset</w:t>
      </w:r>
      <w:r>
        <w:rPr>
          <w:rFonts w:eastAsia="宋体"/>
          <w:kern w:val="0"/>
          <w:lang w:val="en-GB" w:eastAsia="en-US"/>
        </w:rPr>
        <w:t xml:space="preserve"> identification</w:t>
      </w:r>
      <w:r>
        <w:rPr>
          <w:rFonts w:hint="eastAsia" w:eastAsia="宋体"/>
          <w:kern w:val="0"/>
        </w:rPr>
        <w:t>: A process/method of identifying a dataset for the common understanding between the NW and the UE</w:t>
      </w:r>
      <w:bookmarkEnd w:id="32"/>
      <w:bookmarkEnd w:id="33"/>
      <w:bookmarkEnd w:id="34"/>
      <w:bookmarkEnd w:id="35"/>
    </w:p>
    <w:p>
      <w:pPr>
        <w:pStyle w:val="26"/>
        <w:spacing w:before="72" w:after="72"/>
      </w:pPr>
      <w:bookmarkStart w:id="36" w:name="_Toc27211"/>
      <w:bookmarkStart w:id="37" w:name="_Toc28934"/>
      <w:bookmarkStart w:id="38" w:name="_Toc292"/>
      <w:bookmarkStart w:id="39" w:name="_Toc6106"/>
      <w:r>
        <w:rPr>
          <w:rFonts w:hint="eastAsia"/>
        </w:rPr>
        <w:t>Note: The process/method of dataset identification may or may not be applicable.</w:t>
      </w:r>
      <w:bookmarkEnd w:id="36"/>
      <w:bookmarkEnd w:id="37"/>
      <w:bookmarkEnd w:id="38"/>
      <w:bookmarkEnd w:id="39"/>
    </w:p>
    <w:p>
      <w:pPr>
        <w:pStyle w:val="26"/>
        <w:spacing w:before="72" w:after="72"/>
      </w:pPr>
      <w:bookmarkStart w:id="40" w:name="_Toc1407"/>
      <w:bookmarkStart w:id="41" w:name="_Toc4515"/>
      <w:bookmarkStart w:id="42" w:name="_Toc2148"/>
      <w:bookmarkStart w:id="43" w:name="_Toc19439"/>
      <w:r>
        <w:rPr>
          <w:rFonts w:hint="eastAsia"/>
        </w:rPr>
        <w:t>Note: Information regarding the dataset may be shared during dataset identification.</w:t>
      </w:r>
      <w:bookmarkEnd w:id="40"/>
      <w:bookmarkEnd w:id="41"/>
      <w:bookmarkEnd w:id="42"/>
      <w:bookmarkEnd w:id="43"/>
    </w:p>
    <w:p>
      <w:pPr>
        <w:pStyle w:val="3"/>
        <w:spacing w:before="72" w:beforeLines="30" w:after="72" w:afterLines="30" w:line="288" w:lineRule="auto"/>
      </w:pPr>
      <w:r>
        <w:rPr>
          <w:rFonts w:hint="eastAsia"/>
        </w:rPr>
        <w:t>Model/functionality identification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Batang"/>
                <w:b/>
                <w:bCs/>
                <w:kern w:val="0"/>
                <w:u w:val="single"/>
              </w:rPr>
            </w:pPr>
            <w:r>
              <w:rPr>
                <w:rFonts w:eastAsia="Batang"/>
                <w:b/>
                <w:bCs/>
                <w:kern w:val="0"/>
                <w:u w:val="single"/>
              </w:rPr>
              <w:t>A</w:t>
            </w:r>
            <w:r>
              <w:rPr>
                <w:rFonts w:eastAsia="宋体"/>
                <w:b/>
                <w:bCs/>
                <w:kern w:val="0"/>
                <w:u w:val="single"/>
              </w:rPr>
              <w:t>greement in RAN1#110bis-e:</w:t>
            </w:r>
          </w:p>
          <w:p>
            <w:pPr>
              <w:spacing w:before="72" w:beforeLines="30" w:after="72" w:afterLines="30" w:line="288" w:lineRule="auto"/>
              <w:rPr>
                <w:rFonts w:eastAsia="宋体"/>
                <w:kern w:val="0"/>
              </w:rPr>
            </w:pPr>
            <w:r>
              <w:rPr>
                <w:rFonts w:eastAsia="宋体"/>
                <w:kern w:val="0"/>
              </w:rPr>
              <w:t>Study LCM procedure on the basis that an AI/ML model has a model ID with associated information and/or model functionality at least for some AI/M</w:t>
            </w:r>
            <w:r>
              <w:rPr>
                <w:rFonts w:eastAsia="Batang"/>
                <w:kern w:val="0"/>
              </w:rPr>
              <w:t>L</w:t>
            </w:r>
            <w:r>
              <w:rPr>
                <w:rFonts w:eastAsia="宋体"/>
                <w:kern w:val="0"/>
              </w:rPr>
              <w:t xml:space="preserve"> operations </w:t>
            </w:r>
          </w:p>
          <w:p>
            <w:pPr>
              <w:spacing w:before="72" w:beforeLines="30" w:after="72" w:afterLines="30" w:line="288" w:lineRule="auto"/>
              <w:rPr>
                <w:rFonts w:eastAsia="宋体"/>
                <w:kern w:val="0"/>
              </w:rPr>
            </w:pPr>
            <w:r>
              <w:rPr>
                <w:rFonts w:eastAsia="宋体"/>
                <w:kern w:val="0"/>
              </w:rPr>
              <w:t>FFS: Detailed discussion of model ID with associated information and/or model functionality.</w:t>
            </w:r>
          </w:p>
          <w:p>
            <w:pPr>
              <w:spacing w:before="72" w:beforeLines="30" w:after="72" w:afterLines="30" w:line="288" w:lineRule="auto"/>
              <w:rPr>
                <w:rFonts w:eastAsia="等线"/>
                <w:kern w:val="0"/>
              </w:rPr>
            </w:pPr>
            <w:r>
              <w:rPr>
                <w:rFonts w:eastAsia="等线"/>
                <w:kern w:val="0"/>
              </w:rPr>
              <w:t xml:space="preserve">FFS: usage of </w:t>
            </w:r>
            <w:r>
              <w:rPr>
                <w:rFonts w:eastAsia="宋体"/>
                <w:kern w:val="0"/>
              </w:rPr>
              <w:t>model ID with associated information and/or model functionality</w:t>
            </w:r>
            <w:r>
              <w:rPr>
                <w:rFonts w:eastAsia="等线"/>
                <w:kern w:val="0"/>
              </w:rPr>
              <w:t>-based LCM procedure</w:t>
            </w:r>
          </w:p>
          <w:p>
            <w:pPr>
              <w:spacing w:before="72" w:beforeLines="30" w:after="72" w:afterLines="30" w:line="288" w:lineRule="auto"/>
              <w:rPr>
                <w:rFonts w:eastAsia="等线"/>
                <w:kern w:val="0"/>
              </w:rPr>
            </w:pPr>
            <w:r>
              <w:rPr>
                <w:rFonts w:eastAsia="等线"/>
                <w:kern w:val="0"/>
              </w:rPr>
              <w:t>FFS: whether support of model ID</w:t>
            </w:r>
          </w:p>
          <w:p>
            <w:pPr>
              <w:spacing w:before="72" w:beforeLines="30" w:after="72" w:afterLines="30" w:line="288" w:lineRule="auto"/>
              <w:rPr>
                <w:rFonts w:eastAsia="等线"/>
                <w:kern w:val="0"/>
              </w:rPr>
            </w:pPr>
            <w:r>
              <w:rPr>
                <w:rFonts w:eastAsia="等线"/>
                <w:kern w:val="0"/>
              </w:rPr>
              <w:t>FFS: the detailed applicable AI/ML operations</w:t>
            </w:r>
          </w:p>
          <w:p>
            <w:pPr>
              <w:spacing w:before="72" w:beforeLines="30" w:after="72" w:afterLines="30" w:line="288" w:lineRule="auto"/>
              <w:rPr>
                <w:rFonts w:eastAsia="等线"/>
                <w:kern w:val="0"/>
              </w:rPr>
            </w:pPr>
          </w:p>
          <w:p>
            <w:pPr>
              <w:spacing w:before="72" w:beforeLines="30" w:after="72" w:afterLines="30" w:line="288" w:lineRule="auto"/>
              <w:rPr>
                <w:rFonts w:eastAsia="等线"/>
                <w:b/>
                <w:bCs/>
                <w:kern w:val="0"/>
                <w:u w:val="single"/>
              </w:rPr>
            </w:pPr>
            <w:r>
              <w:rPr>
                <w:rFonts w:eastAsia="等线"/>
                <w:b/>
                <w:bCs/>
                <w:kern w:val="0"/>
                <w:u w:val="single"/>
              </w:rPr>
              <w:t>Agreement in RAN1#111:</w:t>
            </w:r>
          </w:p>
          <w:p>
            <w:pPr>
              <w:spacing w:before="72" w:beforeLines="30" w:after="72" w:afterLines="30" w:line="288" w:lineRule="auto"/>
              <w:jc w:val="left"/>
              <w:rPr>
                <w:rFonts w:eastAsia="宋体"/>
                <w:kern w:val="0"/>
                <w:lang w:val="en-GB" w:eastAsia="en-US"/>
              </w:rPr>
            </w:pPr>
            <w:r>
              <w:rPr>
                <w:rFonts w:eastAsia="宋体"/>
                <w:kern w:val="0"/>
                <w:lang w:val="en-GB" w:eastAsia="en-US"/>
              </w:rPr>
              <w:t>For UE-part/UE-side models, study the following mechanisms for LCM procedures:</w:t>
            </w:r>
          </w:p>
          <w:p>
            <w:pPr>
              <w:numPr>
                <w:ilvl w:val="0"/>
                <w:numId w:val="15"/>
              </w:numPr>
              <w:spacing w:before="72" w:beforeLines="30" w:after="72" w:afterLines="30" w:line="288" w:lineRule="auto"/>
              <w:contextualSpacing/>
              <w:rPr>
                <w:rFonts w:eastAsia="Calibri"/>
                <w:lang w:val="en-GB" w:eastAsia="ko-KR"/>
              </w:rPr>
            </w:pPr>
            <w:r>
              <w:rPr>
                <w:rFonts w:eastAsia="Calibri"/>
                <w:lang w:val="en-GB" w:eastAsia="ko-KR"/>
              </w:rPr>
              <w:t>For functionality-based LCM procedure: indication of activation/deactivation/switching/fallback based on individual AI/ML functionality</w:t>
            </w:r>
          </w:p>
          <w:p>
            <w:pPr>
              <w:numPr>
                <w:ilvl w:val="1"/>
                <w:numId w:val="15"/>
              </w:numPr>
              <w:spacing w:before="72" w:beforeLines="30" w:after="72" w:afterLines="30" w:line="288" w:lineRule="auto"/>
              <w:contextualSpacing/>
              <w:rPr>
                <w:rFonts w:eastAsia="等线"/>
                <w:lang w:val="en-GB" w:eastAsia="ko-KR"/>
              </w:rPr>
            </w:pPr>
            <w:r>
              <w:rPr>
                <w:rFonts w:eastAsia="等线"/>
                <w:lang w:val="en-GB" w:eastAsia="ko-KR"/>
              </w:rPr>
              <w:t>Note: UE may have one AI/ML model for the functionality, or UE may have multiple AI/ML models for the functionality.</w:t>
            </w:r>
          </w:p>
          <w:p>
            <w:pPr>
              <w:numPr>
                <w:ilvl w:val="1"/>
                <w:numId w:val="15"/>
              </w:numPr>
              <w:spacing w:before="72" w:beforeLines="30" w:after="72" w:afterLines="30" w:line="288" w:lineRule="auto"/>
              <w:contextualSpacing/>
              <w:rPr>
                <w:rFonts w:eastAsia="Calibri"/>
                <w:lang w:val="en-GB" w:eastAsia="ko-KR"/>
              </w:rPr>
            </w:pPr>
            <w:r>
              <w:rPr>
                <w:rFonts w:eastAsia="等线"/>
                <w:lang w:val="en-GB" w:eastAsia="ko-KR"/>
              </w:rPr>
              <w:t xml:space="preserve">FFS: Whether or how to indicate </w:t>
            </w:r>
            <w:r>
              <w:rPr>
                <w:rFonts w:eastAsia="等线"/>
                <w:lang w:eastAsia="ko-KR"/>
              </w:rPr>
              <w:t>functionality</w:t>
            </w:r>
          </w:p>
          <w:p>
            <w:pPr>
              <w:numPr>
                <w:ilvl w:val="0"/>
                <w:numId w:val="15"/>
              </w:numPr>
              <w:spacing w:before="72" w:beforeLines="30" w:after="72" w:afterLines="30" w:line="288" w:lineRule="auto"/>
              <w:contextualSpacing/>
              <w:rPr>
                <w:rFonts w:eastAsia="Calibri"/>
                <w:lang w:val="en-GB" w:eastAsia="ko-KR"/>
              </w:rPr>
            </w:pPr>
            <w:r>
              <w:rPr>
                <w:rFonts w:eastAsia="Calibri"/>
                <w:lang w:val="en-GB" w:eastAsia="ko-KR"/>
              </w:rPr>
              <w:t>For model-ID-based LCM procedure, indication of model selection/activation/deactivation/switching/fallback based on individual model IDs</w:t>
            </w:r>
          </w:p>
          <w:p>
            <w:pPr>
              <w:spacing w:before="72" w:beforeLines="30" w:after="72" w:afterLines="30" w:line="288" w:lineRule="auto"/>
              <w:ind w:left="360"/>
              <w:contextualSpacing/>
              <w:rPr>
                <w:rFonts w:eastAsia="Calibri"/>
                <w:lang w:val="en-GB" w:eastAsia="ko-KR"/>
              </w:rPr>
            </w:pPr>
          </w:p>
          <w:p>
            <w:pPr>
              <w:spacing w:before="72" w:beforeLines="30" w:after="72" w:afterLines="30" w:line="288" w:lineRule="auto"/>
              <w:jc w:val="left"/>
              <w:rPr>
                <w:rFonts w:eastAsia="宋体"/>
                <w:b/>
                <w:bCs/>
                <w:kern w:val="0"/>
                <w:u w:val="single"/>
              </w:rPr>
            </w:pPr>
            <w:r>
              <w:rPr>
                <w:rFonts w:eastAsia="Times"/>
                <w:b/>
                <w:bCs/>
                <w:kern w:val="0"/>
                <w:u w:val="single"/>
                <w:lang w:val="en-GB" w:eastAsia="en-US"/>
              </w:rPr>
              <w:t>Working Assumption</w:t>
            </w:r>
            <w:r>
              <w:rPr>
                <w:rFonts w:eastAsia="宋体"/>
                <w:b/>
                <w:bCs/>
                <w:kern w:val="0"/>
                <w:u w:val="single"/>
              </w:rPr>
              <w:t xml:space="preserve"> in RAN1#111:</w:t>
            </w:r>
          </w:p>
          <w:tbl>
            <w:tblPr>
              <w:tblStyle w:val="15"/>
              <w:tblW w:w="8559" w:type="dxa"/>
              <w:tblInd w:w="0" w:type="dxa"/>
              <w:tblLayout w:type="autofit"/>
              <w:tblCellMar>
                <w:top w:w="0" w:type="dxa"/>
                <w:left w:w="108" w:type="dxa"/>
                <w:bottom w:w="0" w:type="dxa"/>
                <w:right w:w="108" w:type="dxa"/>
              </w:tblCellMar>
            </w:tblPr>
            <w:tblGrid>
              <w:gridCol w:w="2707"/>
              <w:gridCol w:w="5852"/>
            </w:tblGrid>
            <w:tr>
              <w:tblPrEx>
                <w:tblCellMar>
                  <w:top w:w="0" w:type="dxa"/>
                  <w:left w:w="108" w:type="dxa"/>
                  <w:bottom w:w="0" w:type="dxa"/>
                  <w:right w:w="108" w:type="dxa"/>
                </w:tblCellMar>
              </w:tblPrEx>
              <w:trPr>
                <w:trHeight w:val="343" w:hRule="atLeast"/>
              </w:trPr>
              <w:tc>
                <w:tcPr>
                  <w:tcW w:w="2707"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Terminology</w:t>
                  </w:r>
                </w:p>
              </w:tc>
              <w:tc>
                <w:tcPr>
                  <w:tcW w:w="5852"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Description</w:t>
                  </w:r>
                </w:p>
              </w:tc>
            </w:tr>
            <w:tr>
              <w:tblPrEx>
                <w:tblCellMar>
                  <w:top w:w="0" w:type="dxa"/>
                  <w:left w:w="108" w:type="dxa"/>
                  <w:bottom w:w="0" w:type="dxa"/>
                  <w:right w:w="108" w:type="dxa"/>
                </w:tblCellMar>
              </w:tblPrEx>
              <w:trPr>
                <w:trHeight w:val="687" w:hRule="atLeast"/>
              </w:trPr>
              <w:tc>
                <w:tcPr>
                  <w:tcW w:w="2707"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Model identification</w:t>
                  </w:r>
                </w:p>
              </w:tc>
              <w:tc>
                <w:tcPr>
                  <w:tcW w:w="5852"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A process/method of identifying an AI/ML model for the common understanding between the NW and the UE</w:t>
                  </w:r>
                </w:p>
                <w:p>
                  <w:pPr>
                    <w:spacing w:before="72" w:beforeLines="30" w:after="72" w:afterLines="30" w:line="288" w:lineRule="auto"/>
                    <w:jc w:val="left"/>
                    <w:rPr>
                      <w:rFonts w:eastAsia="宋体"/>
                      <w:kern w:val="0"/>
                      <w:lang w:val="en-GB" w:eastAsia="en-US"/>
                    </w:rPr>
                  </w:pPr>
                  <w:r>
                    <w:rPr>
                      <w:rFonts w:eastAsia="宋体"/>
                      <w:kern w:val="0"/>
                      <w:lang w:val="en-GB" w:eastAsia="en-US"/>
                    </w:rPr>
                    <w:t>Note: The process/method of model identification may or may not be applicable.</w:t>
                  </w:r>
                </w:p>
                <w:p>
                  <w:pPr>
                    <w:spacing w:before="72" w:beforeLines="30" w:after="72" w:afterLines="30" w:line="288" w:lineRule="auto"/>
                    <w:jc w:val="left"/>
                    <w:rPr>
                      <w:rFonts w:eastAsia="宋体"/>
                      <w:kern w:val="0"/>
                      <w:lang w:val="en-GB" w:eastAsia="en-US"/>
                    </w:rPr>
                  </w:pPr>
                  <w:r>
                    <w:rPr>
                      <w:rFonts w:eastAsia="宋体"/>
                      <w:kern w:val="0"/>
                      <w:lang w:val="en-GB" w:eastAsia="en-US"/>
                    </w:rPr>
                    <w:t>Note: Information regarding the AI/ML model may be shared during model identification.</w:t>
                  </w:r>
                </w:p>
              </w:tc>
            </w:tr>
          </w:tbl>
          <w:p>
            <w:pPr>
              <w:spacing w:before="72" w:beforeLines="30" w:after="72" w:afterLines="30" w:line="288" w:lineRule="auto"/>
              <w:jc w:val="left"/>
              <w:rPr>
                <w:rFonts w:eastAsia="宋体"/>
                <w:kern w:val="0"/>
                <w:u w:val="single"/>
                <w:lang w:val="en-GB" w:eastAsia="en-US"/>
              </w:rPr>
            </w:pPr>
          </w:p>
          <w:tbl>
            <w:tblPr>
              <w:tblStyle w:val="15"/>
              <w:tblW w:w="0" w:type="auto"/>
              <w:tblInd w:w="0" w:type="dxa"/>
              <w:tblLayout w:type="autofit"/>
              <w:tblCellMar>
                <w:top w:w="0" w:type="dxa"/>
                <w:left w:w="108" w:type="dxa"/>
                <w:bottom w:w="0" w:type="dxa"/>
                <w:right w:w="108" w:type="dxa"/>
              </w:tblCellMar>
            </w:tblPr>
            <w:tblGrid>
              <w:gridCol w:w="2549"/>
              <w:gridCol w:w="5510"/>
            </w:tblGrid>
            <w:tr>
              <w:tblPrEx>
                <w:tblCellMar>
                  <w:top w:w="0" w:type="dxa"/>
                  <w:left w:w="108" w:type="dxa"/>
                  <w:bottom w:w="0" w:type="dxa"/>
                  <w:right w:w="108" w:type="dxa"/>
                </w:tblCellMar>
              </w:tblPrEx>
              <w:trPr>
                <w:trHeight w:val="333" w:hRule="atLeast"/>
              </w:trPr>
              <w:tc>
                <w:tcPr>
                  <w:tcW w:w="2549"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Terminology</w:t>
                  </w:r>
                </w:p>
              </w:tc>
              <w:tc>
                <w:tcPr>
                  <w:tcW w:w="5510"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Times"/>
                      <w:kern w:val="0"/>
                      <w:lang w:val="en-GB" w:eastAsia="en-US"/>
                    </w:rPr>
                    <w:t>Description</w:t>
                  </w:r>
                </w:p>
              </w:tc>
            </w:tr>
            <w:tr>
              <w:tblPrEx>
                <w:tblCellMar>
                  <w:top w:w="0" w:type="dxa"/>
                  <w:left w:w="108" w:type="dxa"/>
                  <w:bottom w:w="0" w:type="dxa"/>
                  <w:right w:w="108" w:type="dxa"/>
                </w:tblCellMar>
              </w:tblPrEx>
              <w:trPr>
                <w:trHeight w:val="1609" w:hRule="atLeast"/>
              </w:trPr>
              <w:tc>
                <w:tcPr>
                  <w:tcW w:w="2549"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color w:val="000000"/>
                      <w:kern w:val="0"/>
                      <w:lang w:val="en-GB" w:eastAsia="en-US"/>
                    </w:rPr>
                    <w:t xml:space="preserve">Functionality </w:t>
                  </w:r>
                  <w:r>
                    <w:rPr>
                      <w:rFonts w:eastAsia="宋体"/>
                      <w:kern w:val="0"/>
                      <w:lang w:val="en-GB" w:eastAsia="en-US"/>
                    </w:rPr>
                    <w:t>identification</w:t>
                  </w:r>
                </w:p>
              </w:tc>
              <w:tc>
                <w:tcPr>
                  <w:tcW w:w="5510" w:type="dxa"/>
                  <w:tcBorders>
                    <w:top w:val="single" w:color="auto" w:sz="8" w:space="0"/>
                    <w:left w:val="single" w:color="auto" w:sz="8" w:space="0"/>
                    <w:bottom w:val="single" w:color="auto" w:sz="8" w:space="0"/>
                    <w:right w:val="single" w:color="auto" w:sz="8" w:space="0"/>
                  </w:tcBorders>
                </w:tcPr>
                <w:p>
                  <w:pPr>
                    <w:spacing w:before="72" w:beforeLines="30" w:after="72" w:afterLines="30" w:line="288" w:lineRule="auto"/>
                    <w:jc w:val="left"/>
                    <w:rPr>
                      <w:rFonts w:eastAsia="宋体"/>
                      <w:kern w:val="0"/>
                      <w:lang w:val="en-GB" w:eastAsia="en-US"/>
                    </w:rPr>
                  </w:pPr>
                  <w:r>
                    <w:rPr>
                      <w:rFonts w:eastAsia="宋体"/>
                      <w:kern w:val="0"/>
                      <w:lang w:val="en-GB" w:eastAsia="en-US"/>
                    </w:rPr>
                    <w:t>A process/method of identifying an AI/ML functionality for the common understanding between the NW and the UE</w:t>
                  </w:r>
                </w:p>
                <w:p>
                  <w:pPr>
                    <w:spacing w:before="72" w:beforeLines="30" w:after="72" w:afterLines="30" w:line="288" w:lineRule="auto"/>
                    <w:jc w:val="left"/>
                    <w:rPr>
                      <w:rFonts w:eastAsia="宋体"/>
                      <w:kern w:val="0"/>
                      <w:lang w:val="en-GB" w:eastAsia="en-US"/>
                    </w:rPr>
                  </w:pPr>
                  <w:r>
                    <w:rPr>
                      <w:rFonts w:eastAsia="宋体"/>
                      <w:kern w:val="0"/>
                      <w:lang w:val="en-GB" w:eastAsia="en-US"/>
                    </w:rPr>
                    <w:t xml:space="preserve">Note: Information regarding the AI/ML </w:t>
                  </w:r>
                  <w:r>
                    <w:rPr>
                      <w:rFonts w:eastAsia="宋体"/>
                      <w:color w:val="000000"/>
                      <w:kern w:val="0"/>
                      <w:lang w:val="en-GB" w:eastAsia="en-US"/>
                    </w:rPr>
                    <w:t xml:space="preserve">functionality </w:t>
                  </w:r>
                  <w:r>
                    <w:rPr>
                      <w:rFonts w:eastAsia="宋体"/>
                      <w:kern w:val="0"/>
                      <w:lang w:val="en-GB" w:eastAsia="en-US"/>
                    </w:rPr>
                    <w:t xml:space="preserve">may be shared during </w:t>
                  </w:r>
                  <w:r>
                    <w:rPr>
                      <w:rFonts w:eastAsia="宋体"/>
                      <w:color w:val="000000"/>
                      <w:kern w:val="0"/>
                      <w:lang w:val="en-GB" w:eastAsia="en-US"/>
                    </w:rPr>
                    <w:t xml:space="preserve">functionality </w:t>
                  </w:r>
                  <w:r>
                    <w:rPr>
                      <w:rFonts w:eastAsia="宋体"/>
                      <w:kern w:val="0"/>
                      <w:lang w:val="en-GB" w:eastAsia="en-US"/>
                    </w:rPr>
                    <w:t>identification.</w:t>
                  </w:r>
                </w:p>
                <w:p>
                  <w:pPr>
                    <w:spacing w:before="72" w:beforeLines="30" w:after="72" w:afterLines="30" w:line="288" w:lineRule="auto"/>
                    <w:jc w:val="left"/>
                    <w:rPr>
                      <w:rFonts w:eastAsia="宋体"/>
                      <w:color w:val="000000"/>
                      <w:kern w:val="0"/>
                      <w:lang w:val="en-GB" w:eastAsia="en-US"/>
                    </w:rPr>
                  </w:pPr>
                  <w:r>
                    <w:rPr>
                      <w:rFonts w:eastAsia="宋体"/>
                      <w:kern w:val="0"/>
                      <w:lang w:val="en-GB" w:eastAsia="en-US"/>
                    </w:rPr>
                    <w:t>FFS: granularity of functionality</w:t>
                  </w:r>
                </w:p>
              </w:tc>
            </w:tr>
          </w:tbl>
          <w:p>
            <w:pPr>
              <w:spacing w:before="72" w:beforeLines="30" w:after="72" w:afterLines="30" w:line="288" w:lineRule="auto"/>
              <w:jc w:val="left"/>
              <w:rPr>
                <w:rFonts w:eastAsia="等线"/>
                <w:kern w:val="0"/>
                <w:lang w:val="en-GB" w:eastAsia="en-US"/>
              </w:rPr>
            </w:pPr>
            <w:r>
              <w:rPr>
                <w:rFonts w:eastAsia="等线"/>
                <w:kern w:val="0"/>
                <w:lang w:val="en-GB" w:eastAsia="en-US"/>
              </w:rPr>
              <w:t xml:space="preserve">Note: whether and how to indicate Functionality will be discussed separately. </w:t>
            </w:r>
          </w:p>
          <w:p>
            <w:pPr>
              <w:spacing w:before="72" w:beforeLines="30" w:after="72" w:afterLines="30" w:line="288" w:lineRule="auto"/>
              <w:jc w:val="left"/>
              <w:rPr>
                <w:rFonts w:eastAsia="等线"/>
                <w:kern w:val="0"/>
              </w:rPr>
            </w:pPr>
          </w:p>
          <w:p>
            <w:pPr>
              <w:spacing w:before="72" w:beforeLines="30" w:after="72" w:afterLines="30" w:line="288" w:lineRule="auto"/>
              <w:rPr>
                <w:rFonts w:eastAsia="等线"/>
                <w:b/>
                <w:bCs/>
                <w:u w:val="single"/>
              </w:rPr>
            </w:pPr>
            <w:r>
              <w:rPr>
                <w:rFonts w:eastAsia="等线"/>
                <w:b/>
                <w:bCs/>
                <w:u w:val="single"/>
                <w:lang w:val="en-GB"/>
              </w:rPr>
              <w:t>Agreement</w:t>
            </w:r>
            <w:r>
              <w:rPr>
                <w:rFonts w:eastAsia="等线"/>
                <w:b/>
                <w:bCs/>
                <w:u w:val="single"/>
              </w:rPr>
              <w:t xml:space="preserve"> in RAN1#112:</w:t>
            </w:r>
          </w:p>
          <w:p>
            <w:pPr>
              <w:numPr>
                <w:ilvl w:val="0"/>
                <w:numId w:val="16"/>
              </w:numPr>
              <w:spacing w:before="72" w:beforeLines="30" w:after="72" w:afterLines="30" w:line="288" w:lineRule="auto"/>
              <w:rPr>
                <w:rFonts w:eastAsia="Calibri"/>
                <w:lang w:val="en-GB" w:eastAsia="ko-KR"/>
              </w:rPr>
            </w:pPr>
            <w:r>
              <w:rPr>
                <w:rFonts w:eastAsia="Calibri"/>
                <w:lang w:val="en-GB" w:eastAsia="ko-KR"/>
              </w:rPr>
              <w:t xml:space="preserve">AI/ML-enabled Feature refers to a Feature where AI/ML may be used. </w:t>
            </w:r>
          </w:p>
          <w:p>
            <w:pPr>
              <w:spacing w:before="72" w:beforeLines="30" w:after="72" w:afterLines="30" w:line="288" w:lineRule="auto"/>
              <w:rPr>
                <w:rFonts w:eastAsia="等线"/>
                <w:lang w:val="en-GB"/>
              </w:rPr>
            </w:pPr>
          </w:p>
          <w:p>
            <w:pPr>
              <w:spacing w:before="72" w:beforeLines="30" w:after="72" w:afterLines="30" w:line="288" w:lineRule="auto"/>
              <w:rPr>
                <w:rFonts w:eastAsia="等线"/>
                <w:b/>
                <w:bCs/>
                <w:u w:val="single"/>
              </w:rPr>
            </w:pPr>
            <w:r>
              <w:rPr>
                <w:rFonts w:eastAsia="等线"/>
                <w:b/>
                <w:bCs/>
                <w:u w:val="single"/>
                <w:lang w:val="en-GB"/>
              </w:rPr>
              <w:t>Agreement</w:t>
            </w:r>
            <w:r>
              <w:rPr>
                <w:rFonts w:eastAsia="等线"/>
                <w:b/>
                <w:bCs/>
                <w:u w:val="single"/>
              </w:rPr>
              <w:t xml:space="preserve"> in RAN1#112:</w:t>
            </w:r>
          </w:p>
          <w:p>
            <w:pPr>
              <w:numPr>
                <w:ilvl w:val="0"/>
                <w:numId w:val="16"/>
              </w:numPr>
              <w:spacing w:before="72" w:beforeLines="30" w:after="72" w:afterLines="30" w:line="288" w:lineRule="auto"/>
              <w:rPr>
                <w:rFonts w:eastAsia="Calibri"/>
                <w:lang w:val="en-GB" w:eastAsia="ko-KR"/>
              </w:rPr>
            </w:pPr>
            <w:r>
              <w:rPr>
                <w:rFonts w:eastAsia="Calibri"/>
                <w:lang w:val="en-GB" w:eastAsia="ko-KR"/>
              </w:rPr>
              <w:t>For functionality identification, there may be either one or more than one Functionalities defined within an AI/ML-enabled feature.</w:t>
            </w:r>
          </w:p>
          <w:p>
            <w:pPr>
              <w:spacing w:before="72" w:beforeLines="30" w:after="72" w:afterLines="30" w:line="288" w:lineRule="auto"/>
              <w:ind w:left="360"/>
              <w:rPr>
                <w:rFonts w:eastAsia="Calibri"/>
                <w:lang w:val="en-GB" w:eastAsia="ko-KR"/>
              </w:rPr>
            </w:pPr>
          </w:p>
          <w:p>
            <w:pPr>
              <w:spacing w:before="72" w:beforeLines="30" w:after="72" w:afterLines="30" w:line="288" w:lineRule="auto"/>
              <w:rPr>
                <w:rFonts w:eastAsia="等线"/>
                <w:b/>
                <w:bCs/>
                <w:u w:val="single"/>
              </w:rPr>
            </w:pPr>
            <w:r>
              <w:rPr>
                <w:rFonts w:eastAsia="等线"/>
                <w:b/>
                <w:bCs/>
                <w:u w:val="single"/>
                <w:lang w:val="en-GB"/>
              </w:rPr>
              <w:t>Agreement</w:t>
            </w:r>
            <w:r>
              <w:rPr>
                <w:rFonts w:eastAsia="等线"/>
                <w:b/>
                <w:bCs/>
                <w:u w:val="single"/>
              </w:rPr>
              <w:t xml:space="preserve"> in RAN1#112:</w:t>
            </w:r>
          </w:p>
          <w:p>
            <w:pPr>
              <w:spacing w:before="72" w:beforeLines="30" w:after="72" w:afterLines="30" w:line="288" w:lineRule="auto"/>
              <w:jc w:val="left"/>
              <w:rPr>
                <w:rFonts w:eastAsia="宋体"/>
                <w:kern w:val="0"/>
                <w:lang w:val="en-GB" w:eastAsia="en-US"/>
              </w:rPr>
            </w:pPr>
            <w:r>
              <w:rPr>
                <w:rFonts w:eastAsia="宋体"/>
                <w:kern w:val="0"/>
                <w:lang w:val="en-GB" w:eastAsia="en-US"/>
              </w:rPr>
              <w:t>For UE-side models and UE-part of two-sided models:</w:t>
            </w:r>
          </w:p>
          <w:p>
            <w:pPr>
              <w:numPr>
                <w:ilvl w:val="0"/>
                <w:numId w:val="16"/>
              </w:numPr>
              <w:spacing w:before="72" w:beforeLines="30" w:after="72" w:afterLines="30" w:line="288" w:lineRule="auto"/>
              <w:rPr>
                <w:rFonts w:eastAsia="Calibri"/>
                <w:lang w:val="en-GB" w:eastAsia="ko-KR"/>
              </w:rPr>
            </w:pPr>
            <w:r>
              <w:rPr>
                <w:rFonts w:eastAsia="Calibri"/>
                <w:lang w:val="en-GB" w:eastAsia="ko-KR"/>
              </w:rPr>
              <w:t>For AI/ML functionality identification</w:t>
            </w:r>
          </w:p>
          <w:p>
            <w:pPr>
              <w:numPr>
                <w:ilvl w:val="1"/>
                <w:numId w:val="16"/>
              </w:numPr>
              <w:spacing w:before="72" w:beforeLines="30" w:after="72" w:afterLines="30" w:line="288" w:lineRule="auto"/>
              <w:rPr>
                <w:rFonts w:eastAsia="Calibri"/>
                <w:lang w:val="en-GB" w:eastAsia="ko-KR"/>
              </w:rPr>
            </w:pPr>
            <w:r>
              <w:rPr>
                <w:rFonts w:eastAsia="Calibri"/>
                <w:lang w:val="en-GB" w:eastAsia="ko-KR"/>
              </w:rPr>
              <w:t>Reuse legacy 3GPP framework of Features as a starting point for discussion.</w:t>
            </w:r>
          </w:p>
          <w:p>
            <w:pPr>
              <w:numPr>
                <w:ilvl w:val="1"/>
                <w:numId w:val="16"/>
              </w:numPr>
              <w:spacing w:before="72" w:beforeLines="30" w:after="72" w:afterLines="30" w:line="288" w:lineRule="auto"/>
              <w:rPr>
                <w:rFonts w:eastAsia="Calibri"/>
                <w:lang w:val="en-GB" w:eastAsia="ko-KR"/>
              </w:rPr>
            </w:pPr>
            <w:r>
              <w:rPr>
                <w:rFonts w:eastAsia="Calibri"/>
                <w:lang w:val="en-GB" w:eastAsia="ko-KR"/>
              </w:rPr>
              <w:t>UE indicates supported functionalities/functionality for a given sub-use-case.</w:t>
            </w:r>
          </w:p>
          <w:p>
            <w:pPr>
              <w:numPr>
                <w:ilvl w:val="2"/>
                <w:numId w:val="16"/>
              </w:numPr>
              <w:spacing w:before="72" w:beforeLines="30" w:after="72" w:afterLines="30" w:line="288" w:lineRule="auto"/>
              <w:rPr>
                <w:rFonts w:eastAsia="Calibri"/>
                <w:lang w:val="en-GB" w:eastAsia="ko-KR"/>
              </w:rPr>
            </w:pPr>
            <w:r>
              <w:rPr>
                <w:rFonts w:eastAsia="等线"/>
                <w:lang w:val="en-GB"/>
              </w:rPr>
              <w:t>UE capability reporting is taken as starting point.</w:t>
            </w:r>
          </w:p>
          <w:p>
            <w:pPr>
              <w:numPr>
                <w:ilvl w:val="0"/>
                <w:numId w:val="16"/>
              </w:numPr>
              <w:spacing w:before="72" w:beforeLines="30" w:after="72" w:afterLines="30" w:line="288" w:lineRule="auto"/>
              <w:rPr>
                <w:rFonts w:eastAsia="Calibri"/>
                <w:lang w:val="en-GB" w:eastAsia="ko-KR"/>
              </w:rPr>
            </w:pPr>
            <w:r>
              <w:rPr>
                <w:rFonts w:eastAsia="Calibri"/>
                <w:lang w:val="en-GB" w:eastAsia="ko-KR"/>
              </w:rPr>
              <w:t xml:space="preserve">For AI/ML model identification </w:t>
            </w:r>
          </w:p>
          <w:p>
            <w:pPr>
              <w:numPr>
                <w:ilvl w:val="1"/>
                <w:numId w:val="16"/>
              </w:numPr>
              <w:spacing w:before="72" w:beforeLines="30" w:after="72" w:afterLines="30" w:line="288" w:lineRule="auto"/>
              <w:rPr>
                <w:rFonts w:eastAsia="Calibri"/>
                <w:lang w:val="en-GB" w:eastAsia="ko-KR"/>
              </w:rPr>
            </w:pPr>
            <w:r>
              <w:rPr>
                <w:rFonts w:eastAsia="Calibri"/>
                <w:lang w:val="en-GB" w:eastAsia="ko-KR"/>
              </w:rPr>
              <w:t>Models are identified by model ID at the Network. UE indicates supported AI/ML models.</w:t>
            </w:r>
          </w:p>
          <w:p>
            <w:pPr>
              <w:numPr>
                <w:ilvl w:val="0"/>
                <w:numId w:val="16"/>
              </w:numPr>
              <w:spacing w:before="72" w:beforeLines="30" w:after="72" w:afterLines="30" w:line="288" w:lineRule="auto"/>
              <w:rPr>
                <w:rFonts w:eastAsia="Calibri"/>
                <w:lang w:val="en-GB" w:eastAsia="ko-KR"/>
              </w:rPr>
            </w:pPr>
            <w:r>
              <w:rPr>
                <w:rFonts w:eastAsia="Calibri"/>
                <w:lang w:val="en-GB" w:eastAsia="ko-KR"/>
              </w:rPr>
              <w:t>In functionality-based LCM</w:t>
            </w:r>
          </w:p>
          <w:p>
            <w:pPr>
              <w:numPr>
                <w:ilvl w:val="1"/>
                <w:numId w:val="16"/>
              </w:numPr>
              <w:spacing w:before="72" w:beforeLines="30" w:after="72" w:afterLines="30" w:line="288" w:lineRule="auto"/>
              <w:rPr>
                <w:rFonts w:eastAsia="Calibri"/>
                <w:lang w:val="en-GB" w:eastAsia="ko-KR"/>
              </w:rPr>
            </w:pPr>
            <w:r>
              <w:rPr>
                <w:rFonts w:eastAsia="Calibri"/>
                <w:lang w:val="en-GB" w:eastAsia="ko-KR"/>
              </w:rPr>
              <w:t xml:space="preserve">Network indicates activation/deactivation/fallback/switching of AI/ML functionality via 3GPP signaling (e.g., RRC, MAC-CE, DCI). </w:t>
            </w:r>
          </w:p>
          <w:p>
            <w:pPr>
              <w:numPr>
                <w:ilvl w:val="1"/>
                <w:numId w:val="16"/>
              </w:numPr>
              <w:spacing w:before="72" w:beforeLines="30" w:after="72" w:afterLines="30" w:line="288" w:lineRule="auto"/>
              <w:rPr>
                <w:rFonts w:eastAsia="Calibri"/>
                <w:lang w:val="en-GB" w:eastAsia="ko-KR"/>
              </w:rPr>
            </w:pPr>
            <w:r>
              <w:rPr>
                <w:rFonts w:eastAsia="Calibri"/>
                <w:lang w:val="en-GB" w:eastAsia="ko-KR"/>
              </w:rPr>
              <w:t>Models may not be identified at the Network, and UE may perform model-level LCM.</w:t>
            </w:r>
          </w:p>
          <w:p>
            <w:pPr>
              <w:numPr>
                <w:ilvl w:val="2"/>
                <w:numId w:val="16"/>
              </w:numPr>
              <w:spacing w:before="72" w:beforeLines="30" w:after="72" w:afterLines="30" w:line="288" w:lineRule="auto"/>
              <w:rPr>
                <w:rFonts w:eastAsia="Calibri"/>
                <w:lang w:val="en-GB" w:eastAsia="ko-KR"/>
              </w:rPr>
            </w:pPr>
            <w:r>
              <w:rPr>
                <w:rFonts w:eastAsia="Calibri"/>
                <w:lang w:val="en-GB" w:eastAsia="ko-KR"/>
              </w:rPr>
              <w:t>Study whether and how much awareness/interaction NW should have about model-level LCM</w:t>
            </w:r>
          </w:p>
          <w:p>
            <w:pPr>
              <w:numPr>
                <w:ilvl w:val="0"/>
                <w:numId w:val="16"/>
              </w:numPr>
              <w:spacing w:before="72" w:beforeLines="30" w:after="72" w:afterLines="30" w:line="288" w:lineRule="auto"/>
              <w:rPr>
                <w:rFonts w:eastAsia="Calibri"/>
                <w:lang w:val="en-GB" w:eastAsia="ko-KR"/>
              </w:rPr>
            </w:pPr>
            <w:r>
              <w:rPr>
                <w:rFonts w:eastAsia="Calibri"/>
                <w:lang w:val="en-GB" w:eastAsia="ko-KR"/>
              </w:rPr>
              <w:t xml:space="preserve">In model-ID-based LCM, models are identified at the Network, and Network/UE may activate/deactivate/select/switch individual AI/ML models via model ID. </w:t>
            </w:r>
          </w:p>
          <w:p>
            <w:pPr>
              <w:spacing w:before="72" w:beforeLines="30" w:after="72" w:afterLines="30" w:line="288" w:lineRule="auto"/>
              <w:jc w:val="left"/>
              <w:rPr>
                <w:rFonts w:eastAsia="宋体"/>
                <w:kern w:val="0"/>
                <w:lang w:val="en-GB" w:eastAsia="en-US"/>
              </w:rPr>
            </w:pPr>
            <w:r>
              <w:rPr>
                <w:rFonts w:eastAsia="宋体"/>
                <w:kern w:val="0"/>
                <w:lang w:val="en-GB" w:eastAsia="en-US"/>
              </w:rPr>
              <w:t>FFS: Relationship between functionality identification and model identification</w:t>
            </w:r>
          </w:p>
          <w:p>
            <w:pPr>
              <w:spacing w:before="72" w:beforeLines="30" w:after="72" w:afterLines="30" w:line="288" w:lineRule="auto"/>
              <w:jc w:val="left"/>
              <w:rPr>
                <w:rFonts w:eastAsia="宋体"/>
                <w:kern w:val="0"/>
                <w:lang w:val="en-GB" w:eastAsia="en-US"/>
              </w:rPr>
            </w:pPr>
            <w:r>
              <w:rPr>
                <w:rFonts w:eastAsia="宋体"/>
                <w:kern w:val="0"/>
                <w:lang w:val="en-GB" w:eastAsia="en-US"/>
              </w:rPr>
              <w:t>FFS: Performance monitoring and RAN4 impact</w:t>
            </w:r>
          </w:p>
          <w:p>
            <w:pPr>
              <w:spacing w:before="72" w:beforeLines="30" w:after="72" w:afterLines="30" w:line="288" w:lineRule="auto"/>
              <w:jc w:val="left"/>
              <w:rPr>
                <w:rFonts w:eastAsia="Batang"/>
                <w:strike/>
                <w:kern w:val="0"/>
              </w:rPr>
            </w:pPr>
            <w:r>
              <w:rPr>
                <w:rFonts w:eastAsia="宋体"/>
                <w:kern w:val="0"/>
                <w:lang w:val="en-GB" w:eastAsia="en-US"/>
              </w:rPr>
              <w:t xml:space="preserve">FFS: detailed understanding on model </w:t>
            </w:r>
          </w:p>
        </w:tc>
      </w:tr>
    </w:tbl>
    <w:p>
      <w:pPr>
        <w:snapToGrid w:val="0"/>
        <w:spacing w:before="72" w:beforeLines="30" w:after="72" w:afterLines="30" w:line="288" w:lineRule="auto"/>
        <w:rPr>
          <w:rFonts w:eastAsia="微软雅黑"/>
        </w:rPr>
      </w:pPr>
    </w:p>
    <w:p>
      <w:pPr>
        <w:pStyle w:val="4"/>
        <w:snapToGrid w:val="0"/>
        <w:spacing w:before="72" w:beforeLines="30" w:after="72" w:afterLines="30" w:line="288" w:lineRule="auto"/>
        <w:ind w:left="420"/>
      </w:pPr>
      <w:r>
        <w:rPr>
          <w:rFonts w:hint="eastAsia"/>
        </w:rPr>
        <w:t>Model identifi</w:t>
      </w:r>
      <w:r>
        <w:rPr>
          <w:rFonts w:hint="eastAsia"/>
          <w:b w:val="0"/>
          <w:bCs w:val="0"/>
          <w:u w:val="none"/>
        </w:rPr>
        <w:t xml:space="preserve">cation </w:t>
      </w:r>
      <w:r>
        <w:rPr>
          <w:rFonts w:eastAsia="Arial Unicode MS"/>
          <w:b w:val="0"/>
          <w:bCs w:val="0"/>
          <w:u w:val="none"/>
        </w:rPr>
        <w:t>process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rFonts w:eastAsiaTheme="minorEastAsia"/>
                <w:b/>
                <w:bCs/>
                <w:color w:val="000000" w:themeColor="text1"/>
                <w:kern w:val="0"/>
                <w:u w:val="single"/>
                <w14:textFill>
                  <w14:solidFill>
                    <w14:schemeClr w14:val="tx1"/>
                  </w14:solidFill>
                </w14:textFill>
              </w:rPr>
            </w:pPr>
            <w:r>
              <w:rPr>
                <w:b/>
                <w:bCs/>
                <w:color w:val="000000" w:themeColor="text1"/>
                <w:u w:val="single"/>
                <w14:textFill>
                  <w14:solidFill>
                    <w14:schemeClr w14:val="tx1"/>
                  </w14:solidFill>
                </w14:textFill>
              </w:rPr>
              <w:t>Proposal 6-11e:</w:t>
            </w:r>
          </w:p>
          <w:p>
            <w:pPr>
              <w:widowControl/>
              <w:spacing w:before="72" w:beforeLines="30" w:after="72" w:afterLines="30" w:line="288" w:lineRule="auto"/>
              <w:rPr>
                <w:rFonts w:eastAsiaTheme="minorEastAsia"/>
                <w:color w:val="000000" w:themeColor="text1"/>
                <w:kern w:val="0"/>
                <w14:textFill>
                  <w14:solidFill>
                    <w14:schemeClr w14:val="tx1"/>
                  </w14:solidFill>
                </w14:textFill>
              </w:rPr>
            </w:pPr>
            <w:r>
              <w:rPr>
                <w:color w:val="000000" w:themeColor="text1"/>
                <w14:textFill>
                  <w14:solidFill>
                    <w14:schemeClr w14:val="tx1"/>
                  </w14:solidFill>
                </w14:textFill>
              </w:rPr>
              <w:t>For model identification of UE-side or UE-part of two-sided models, categorize model identification types as follows, and further study relevant aspects, necessity, and specification impact.</w:t>
            </w:r>
          </w:p>
          <w:p>
            <w:pPr>
              <w:widowControl/>
              <w:numPr>
                <w:ilvl w:val="0"/>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Type A: Model is identified to NW (if applicable) and UE (if applicable) without over-the-air signaling.</w:t>
            </w:r>
          </w:p>
          <w:p>
            <w:pPr>
              <w:widowControl/>
              <w:numPr>
                <w:ilvl w:val="1"/>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The model is assigned with a model ID during the model identification, which may be used in over-the-air signaling after model identification. </w:t>
            </w:r>
          </w:p>
          <w:p>
            <w:pPr>
              <w:widowControl/>
              <w:numPr>
                <w:ilvl w:val="1"/>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FFS: Spec impact to other WGs including SA</w:t>
            </w:r>
          </w:p>
          <w:p>
            <w:pPr>
              <w:widowControl/>
              <w:numPr>
                <w:ilvl w:val="0"/>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Type B: Model is identified from UE to NW via over-the-air signaling.</w:t>
            </w:r>
          </w:p>
          <w:p>
            <w:pPr>
              <w:widowControl/>
              <w:numPr>
                <w:ilvl w:val="1"/>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Type B is similar to Type A, except that the model identification to NW is performed between NW and a designated UE via over-the-air signaling. </w:t>
            </w:r>
          </w:p>
          <w:p>
            <w:pPr>
              <w:widowControl/>
              <w:numPr>
                <w:ilvl w:val="1"/>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Model may be identified to UEs (if applicable) without over-the-air signaling.</w:t>
            </w:r>
          </w:p>
          <w:p>
            <w:pPr>
              <w:widowControl/>
              <w:numPr>
                <w:ilvl w:val="0"/>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 xml:space="preserve">Type C: Model is identified from NW to UE via over-the-air signaling. </w:t>
            </w:r>
          </w:p>
          <w:p>
            <w:pPr>
              <w:widowControl/>
              <w:numPr>
                <w:ilvl w:val="1"/>
                <w:numId w:val="17"/>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Type C is used in conjunction with model transfer from NW to UE.</w:t>
            </w:r>
          </w:p>
          <w:p>
            <w:pPr>
              <w:widowControl/>
              <w:spacing w:before="72" w:beforeLines="30" w:after="72" w:afterLines="30" w:line="288" w:lineRule="auto"/>
              <w:rPr>
                <w:rFonts w:eastAsia="微软雅黑"/>
                <w:b/>
                <w:bCs/>
                <w:u w:val="single"/>
              </w:rPr>
            </w:pPr>
            <w:r>
              <w:rPr>
                <w:color w:val="000000" w:themeColor="text1"/>
                <w14:textFill>
                  <w14:solidFill>
                    <w14:schemeClr w14:val="tx1"/>
                  </w14:solidFill>
                </w14:textFill>
              </w:rPr>
              <w:t>Note: This does not imply that model identification is necessary.</w:t>
            </w:r>
          </w:p>
        </w:tc>
      </w:tr>
    </w:tbl>
    <w:p>
      <w:pPr>
        <w:snapToGrid w:val="0"/>
        <w:spacing w:before="72" w:beforeLines="30" w:after="72" w:afterLines="30" w:line="288" w:lineRule="auto"/>
        <w:rPr>
          <w:rFonts w:eastAsia="微软雅黑"/>
        </w:rPr>
      </w:pPr>
      <w:r>
        <w:rPr>
          <w:rFonts w:hint="eastAsia" w:eastAsia="微软雅黑"/>
        </w:rPr>
        <w:t xml:space="preserve">To clarify first, the model identification process is to give an identifier to a model (i,e., a global </w:t>
      </w:r>
      <w:r>
        <w:rPr>
          <w:rFonts w:eastAsia="微软雅黑"/>
        </w:rPr>
        <w:t>‘</w:t>
      </w:r>
      <w:r>
        <w:rPr>
          <w:rFonts w:hint="eastAsia" w:eastAsia="微软雅黑"/>
        </w:rPr>
        <w:t>unique</w:t>
      </w:r>
      <w:r>
        <w:rPr>
          <w:rFonts w:eastAsia="微软雅黑"/>
        </w:rPr>
        <w:t>’</w:t>
      </w:r>
      <w:r>
        <w:rPr>
          <w:rFonts w:hint="eastAsia" w:eastAsia="微软雅黑"/>
        </w:rPr>
        <w:t xml:space="preserve"> ID as assumed by RAN2) so that</w:t>
      </w:r>
      <w:r>
        <w:rPr>
          <w:rFonts w:hint="eastAsia" w:eastAsia="微软雅黑"/>
          <w:lang w:val="en-US" w:eastAsia="zh-CN"/>
        </w:rPr>
        <w:t xml:space="preserve"> the NW and UE can have the same understanding on the model to facilitate some LCM procedures</w:t>
      </w:r>
      <w:r>
        <w:rPr>
          <w:rFonts w:hint="eastAsia" w:eastAsia="微软雅黑"/>
        </w:rPr>
        <w:t xml:space="preserve"> </w:t>
      </w:r>
      <w:r>
        <w:rPr>
          <w:rFonts w:eastAsia="微软雅黑"/>
        </w:rPr>
        <w:t>(</w:t>
      </w:r>
      <w:r>
        <w:rPr>
          <w:rFonts w:hint="eastAsia" w:eastAsia="微软雅黑"/>
        </w:rPr>
        <w:t xml:space="preserve">e.g., model capability/availability report and model transfer) can have the same understandings on the model to be reported/transferred. </w:t>
      </w:r>
    </w:p>
    <w:p>
      <w:pPr>
        <w:pStyle w:val="25"/>
        <w:spacing w:before="72" w:after="72"/>
        <w:rPr>
          <w:lang w:val="en-US" w:eastAsia="zh-CN"/>
        </w:rPr>
      </w:pPr>
      <w:bookmarkStart w:id="44" w:name="_Toc26227"/>
      <w:bookmarkStart w:id="45" w:name="_Toc8621"/>
      <w:bookmarkStart w:id="46" w:name="_Toc24499"/>
      <w:bookmarkStart w:id="47" w:name="_Toc131690098"/>
      <w:r>
        <w:rPr>
          <w:rFonts w:hint="eastAsia"/>
          <w:lang w:val="en-US" w:eastAsia="zh-CN"/>
        </w:rPr>
        <w:t>M</w:t>
      </w:r>
      <w:r>
        <w:rPr>
          <w:lang w:val="en-US" w:eastAsia="zh-CN"/>
        </w:rPr>
        <w:t xml:space="preserve">odel identification process is to give a global ‘unique’ ID </w:t>
      </w:r>
      <w:r>
        <w:rPr>
          <w:rFonts w:hint="eastAsia"/>
          <w:lang w:val="en-US" w:eastAsia="zh-CN"/>
        </w:rPr>
        <w:t xml:space="preserve">to a model </w:t>
      </w:r>
      <w:r>
        <w:rPr>
          <w:lang w:val="en-US" w:eastAsia="zh-CN"/>
        </w:rPr>
        <w:t xml:space="preserve">so that </w:t>
      </w:r>
      <w:r>
        <w:rPr>
          <w:rFonts w:hint="eastAsia"/>
          <w:lang w:val="en-US" w:eastAsia="zh-CN"/>
        </w:rPr>
        <w:t xml:space="preserve">some </w:t>
      </w:r>
      <w:r>
        <w:rPr>
          <w:lang w:val="en-US" w:eastAsia="zh-CN"/>
        </w:rPr>
        <w:t>LCM procedures (e.g., model capability/availability report, model transfer) can have the same understanding</w:t>
      </w:r>
      <w:r>
        <w:rPr>
          <w:rFonts w:hint="eastAsia"/>
          <w:lang w:val="en-US" w:eastAsia="zh-CN"/>
        </w:rPr>
        <w:t>s</w:t>
      </w:r>
      <w:r>
        <w:rPr>
          <w:lang w:val="en-US" w:eastAsia="zh-CN"/>
        </w:rPr>
        <w:t xml:space="preserve"> on the model to be reported/transferred.</w:t>
      </w:r>
      <w:bookmarkEnd w:id="44"/>
      <w:bookmarkEnd w:id="45"/>
      <w:bookmarkEnd w:id="46"/>
      <w:r>
        <w:rPr>
          <w:rFonts w:hint="eastAsia"/>
          <w:lang w:val="en-US" w:eastAsia="zh-CN"/>
        </w:rPr>
        <w:t xml:space="preserve"> </w:t>
      </w:r>
      <w:bookmarkEnd w:id="47"/>
    </w:p>
    <w:p>
      <w:pPr>
        <w:snapToGrid w:val="0"/>
        <w:spacing w:before="72" w:beforeLines="30" w:after="72" w:afterLines="30" w:line="288" w:lineRule="auto"/>
        <w:rPr>
          <w:rFonts w:eastAsia="微软雅黑"/>
        </w:rPr>
      </w:pPr>
      <w:r>
        <w:rPr>
          <w:rFonts w:hint="eastAsia" w:eastAsia="微软雅黑"/>
        </w:rPr>
        <w:t>Regarding the naming process to an AI/M</w:t>
      </w:r>
      <w:r>
        <w:rPr>
          <w:rFonts w:eastAsia="微软雅黑"/>
        </w:rPr>
        <w:t>L</w:t>
      </w:r>
      <w:r>
        <w:rPr>
          <w:rFonts w:hint="eastAsia" w:eastAsia="微软雅黑"/>
        </w:rPr>
        <w:t xml:space="preserve"> model, it may include the following types according to the discussion in RAN1#112bis-e:</w:t>
      </w:r>
    </w:p>
    <w:p>
      <w:pPr>
        <w:numPr>
          <w:ilvl w:val="0"/>
          <w:numId w:val="13"/>
        </w:numPr>
        <w:snapToGrid w:val="0"/>
        <w:spacing w:before="72" w:beforeLines="30" w:after="72" w:afterLines="30" w:line="288" w:lineRule="auto"/>
        <w:rPr>
          <w:rFonts w:eastAsia="微软雅黑"/>
        </w:rPr>
      </w:pPr>
      <w:r>
        <w:rPr>
          <w:rFonts w:hint="eastAsia" w:eastAsia="微软雅黑"/>
        </w:rPr>
        <w:t>Type A: Model is identified to NW (if applicable) and UE (if applicable) without over-the-air signaling</w:t>
      </w:r>
    </w:p>
    <w:p>
      <w:pPr>
        <w:numPr>
          <w:ilvl w:val="0"/>
          <w:numId w:val="18"/>
        </w:numPr>
        <w:snapToGrid w:val="0"/>
        <w:spacing w:before="72" w:beforeLines="30" w:after="72" w:afterLines="30" w:line="288" w:lineRule="auto"/>
        <w:rPr>
          <w:rFonts w:eastAsia="微软雅黑"/>
        </w:rPr>
      </w:pPr>
      <w:r>
        <w:rPr>
          <w:rFonts w:hint="eastAsia" w:eastAsia="微软雅黑"/>
        </w:rPr>
        <w:t>T</w:t>
      </w:r>
      <w:r>
        <w:rPr>
          <w:rFonts w:eastAsia="微软雅黑"/>
        </w:rPr>
        <w:t>he model is assigned with a global ‘</w:t>
      </w:r>
      <w:r>
        <w:rPr>
          <w:rFonts w:hint="eastAsia" w:eastAsia="微软雅黑"/>
        </w:rPr>
        <w:t>unique</w:t>
      </w:r>
      <w:r>
        <w:rPr>
          <w:rFonts w:eastAsia="微软雅黑"/>
        </w:rPr>
        <w:t>’</w:t>
      </w:r>
      <w:r>
        <w:rPr>
          <w:rFonts w:hint="eastAsia" w:eastAsia="微软雅黑"/>
        </w:rPr>
        <w:t xml:space="preserve"> </w:t>
      </w:r>
      <w:r>
        <w:rPr>
          <w:rFonts w:eastAsia="微软雅黑"/>
        </w:rPr>
        <w:t xml:space="preserve">model ID. </w:t>
      </w:r>
      <w:r>
        <w:rPr>
          <w:rFonts w:hint="eastAsia" w:eastAsia="微软雅黑"/>
        </w:rPr>
        <w:t>For example, t</w:t>
      </w:r>
      <w:r>
        <w:rPr>
          <w:rFonts w:eastAsia="微软雅黑"/>
        </w:rPr>
        <w:t>he model ID can be unique within a PLMN. Then, the model is stored in a repository at the NW, which is accessible to both NW side and UE side.</w:t>
      </w:r>
      <w:r>
        <w:rPr>
          <w:rFonts w:hint="eastAsia" w:eastAsia="微软雅黑"/>
        </w:rPr>
        <w:t xml:space="preserve"> The model description </w:t>
      </w:r>
      <w:r>
        <w:rPr>
          <w:rFonts w:eastAsia="微软雅黑"/>
        </w:rPr>
        <w:t>information (</w:t>
      </w:r>
      <w:r>
        <w:rPr>
          <w:rFonts w:hint="eastAsia" w:eastAsia="微软雅黑"/>
        </w:rPr>
        <w:t xml:space="preserve">e.g., applicable conditions of the model) about UE-side/part model being identified is provided during the model identification. After the model identification, UE can report its model capability/availability via the global </w:t>
      </w:r>
      <w:r>
        <w:rPr>
          <w:rFonts w:eastAsia="微软雅黑"/>
        </w:rPr>
        <w:t>‘</w:t>
      </w:r>
      <w:r>
        <w:rPr>
          <w:rFonts w:hint="eastAsia" w:eastAsia="微软雅黑"/>
        </w:rPr>
        <w:t>unique</w:t>
      </w:r>
      <w:r>
        <w:rPr>
          <w:rFonts w:eastAsia="微软雅黑"/>
        </w:rPr>
        <w:t>’</w:t>
      </w:r>
      <w:r>
        <w:rPr>
          <w:rFonts w:hint="eastAsia" w:eastAsia="微软雅黑"/>
        </w:rPr>
        <w:t xml:space="preserve"> model ID. Moreover, NW may transfer the model to a UE that explicitly indicates the support of the model.</w:t>
      </w:r>
    </w:p>
    <w:p>
      <w:pPr>
        <w:numPr>
          <w:ilvl w:val="0"/>
          <w:numId w:val="18"/>
        </w:numPr>
        <w:snapToGrid w:val="0"/>
        <w:spacing w:before="72" w:beforeLines="30" w:after="72" w:afterLines="30" w:line="288" w:lineRule="auto"/>
      </w:pPr>
      <w:r>
        <w:rPr>
          <w:rFonts w:hint="eastAsia" w:eastAsia="微软雅黑"/>
        </w:rPr>
        <w:t>The model ID assignment and the association of model description information to a model need some offline coordination between network side and UE side, which is transparent to RAN1 specification. The model identification type A should be further studied by other working groups</w:t>
      </w:r>
      <w:r>
        <w:rPr>
          <w:rFonts w:eastAsia="微软雅黑"/>
        </w:rPr>
        <w:t xml:space="preserve"> </w:t>
      </w:r>
      <w:r>
        <w:rPr>
          <w:rFonts w:hint="eastAsia" w:eastAsia="微软雅黑"/>
        </w:rPr>
        <w:t>(e.g., how to register/de-register the model and how to conduct certification test on the model).</w:t>
      </w:r>
    </w:p>
    <w:p>
      <w:pPr>
        <w:numPr>
          <w:ilvl w:val="0"/>
          <w:numId w:val="13"/>
        </w:numPr>
        <w:snapToGrid w:val="0"/>
        <w:spacing w:before="72" w:beforeLines="30" w:after="72" w:afterLines="30" w:line="288" w:lineRule="auto"/>
        <w:rPr>
          <w:rFonts w:eastAsia="微软雅黑"/>
        </w:rPr>
      </w:pPr>
      <w:r>
        <w:rPr>
          <w:rFonts w:eastAsia="微软雅黑"/>
        </w:rPr>
        <w:t xml:space="preserve">Type </w:t>
      </w:r>
      <w:r>
        <w:rPr>
          <w:rFonts w:hint="eastAsia" w:eastAsia="微软雅黑"/>
        </w:rPr>
        <w:t>B</w:t>
      </w:r>
      <w:r>
        <w:rPr>
          <w:rFonts w:eastAsia="微软雅黑"/>
        </w:rPr>
        <w:t xml:space="preserve">: </w:t>
      </w:r>
      <w:r>
        <w:rPr>
          <w:color w:val="000000" w:themeColor="text1"/>
          <w14:textFill>
            <w14:solidFill>
              <w14:schemeClr w14:val="tx1"/>
            </w14:solidFill>
          </w14:textFill>
        </w:rPr>
        <w:t>Model is identified from UE to NW via over-the-air signaling</w:t>
      </w:r>
    </w:p>
    <w:p>
      <w:pPr>
        <w:numPr>
          <w:ilvl w:val="0"/>
          <w:numId w:val="18"/>
        </w:numPr>
        <w:snapToGrid w:val="0"/>
        <w:spacing w:before="72" w:beforeLines="30" w:after="72" w:afterLines="30" w:line="288" w:lineRule="auto"/>
        <w:rPr>
          <w:rFonts w:eastAsia="微软雅黑"/>
        </w:rPr>
      </w:pPr>
      <w:r>
        <w:rPr>
          <w:rFonts w:hint="eastAsia" w:eastAsia="微软雅黑"/>
        </w:rPr>
        <w:t>Unlike the Type A, the naming procedures of Type B are defined clearly in specification. UE reports its support of model identification process to network side. After that, UE can request/initiate the model identification process to NW. In this process, UE transfers the model to network side and the corresponding model description information</w:t>
      </w:r>
      <w:r>
        <w:rPr>
          <w:rFonts w:eastAsia="微软雅黑"/>
        </w:rPr>
        <w:t xml:space="preserve"> </w:t>
      </w:r>
      <w:r>
        <w:rPr>
          <w:rFonts w:hint="eastAsia" w:eastAsia="微软雅黑"/>
        </w:rPr>
        <w:t xml:space="preserve">(e.g., applicable conditions of the model) about the model is also provided along with the model transfer. Then, network side will assign a global </w:t>
      </w:r>
      <w:r>
        <w:rPr>
          <w:rFonts w:eastAsia="微软雅黑"/>
        </w:rPr>
        <w:t>‘</w:t>
      </w:r>
      <w:r>
        <w:rPr>
          <w:rFonts w:hint="eastAsia" w:eastAsia="微软雅黑"/>
        </w:rPr>
        <w:t>unique</w:t>
      </w:r>
      <w:r>
        <w:rPr>
          <w:rFonts w:eastAsia="微软雅黑"/>
        </w:rPr>
        <w:t>’</w:t>
      </w:r>
      <w:r>
        <w:rPr>
          <w:rFonts w:hint="eastAsia" w:eastAsia="微软雅黑"/>
        </w:rPr>
        <w:t xml:space="preserve"> model ID to the model transferred from the UE. The model ID assignment should be further studied by other working groups</w:t>
      </w:r>
      <w:r>
        <w:rPr>
          <w:rFonts w:eastAsia="微软雅黑"/>
        </w:rPr>
        <w:t xml:space="preserve"> </w:t>
      </w:r>
      <w:r>
        <w:rPr>
          <w:rFonts w:hint="eastAsia" w:eastAsia="微软雅黑"/>
        </w:rPr>
        <w:t xml:space="preserve">(e.g., how to register/de-register the model and how to conduct certification test on the model). In this way, the network can help UE side to store and manage the model. After the model identification, another UE (e.g., from the same UE vendor) can report its model capability/availability via the global </w:t>
      </w:r>
      <w:r>
        <w:rPr>
          <w:rFonts w:eastAsia="微软雅黑"/>
        </w:rPr>
        <w:t>‘</w:t>
      </w:r>
      <w:r>
        <w:rPr>
          <w:rFonts w:hint="eastAsia" w:eastAsia="微软雅黑"/>
        </w:rPr>
        <w:t>unique</w:t>
      </w:r>
      <w:r>
        <w:rPr>
          <w:rFonts w:eastAsia="微软雅黑"/>
        </w:rPr>
        <w:t>’</w:t>
      </w:r>
      <w:r>
        <w:rPr>
          <w:rFonts w:hint="eastAsia" w:eastAsia="微软雅黑"/>
        </w:rPr>
        <w:t xml:space="preserve"> model ID. Moreover, NW may transfer the model to a UE that explicitly indicates the support of the model.</w:t>
      </w:r>
    </w:p>
    <w:p>
      <w:pPr>
        <w:numPr>
          <w:ilvl w:val="0"/>
          <w:numId w:val="18"/>
        </w:numPr>
        <w:snapToGrid w:val="0"/>
        <w:spacing w:before="72" w:beforeLines="30" w:after="72" w:afterLines="30" w:line="288" w:lineRule="auto"/>
      </w:pPr>
      <w:r>
        <w:rPr>
          <w:rFonts w:hint="eastAsia" w:eastAsia="微软雅黑"/>
        </w:rPr>
        <w:t xml:space="preserve">Companies may argue that model identification Type B is the same as the functionality identification. Firstly, it should be clarified that there is no clear benefits to assign the global model ID to model description information only. Our understanding is that model identification process should always be accompanied by the model transfer, mode description information and model ID assignment, which would require additional UE capability aside from the UE capability for functionality identification. For example, the UE capability should include the support of model identification process, the supported conditions of the model description information and model description format for the model transfer. </w:t>
      </w:r>
    </w:p>
    <w:p>
      <w:pPr>
        <w:numPr>
          <w:ilvl w:val="0"/>
          <w:numId w:val="13"/>
        </w:numPr>
        <w:snapToGrid w:val="0"/>
        <w:spacing w:before="72" w:beforeLines="30" w:after="72" w:afterLines="30" w:line="288" w:lineRule="auto"/>
        <w:rPr>
          <w:rFonts w:eastAsia="微软雅黑"/>
        </w:rPr>
      </w:pPr>
      <w:r>
        <w:rPr>
          <w:rFonts w:eastAsia="微软雅黑"/>
        </w:rPr>
        <w:t xml:space="preserve">Type </w:t>
      </w:r>
      <w:r>
        <w:rPr>
          <w:rFonts w:hint="eastAsia" w:eastAsia="微软雅黑"/>
        </w:rPr>
        <w:t>C</w:t>
      </w:r>
      <w:r>
        <w:rPr>
          <w:rFonts w:eastAsia="微软雅黑"/>
        </w:rPr>
        <w:t>:</w:t>
      </w:r>
      <w:r>
        <w:rPr>
          <w:rFonts w:hint="eastAsia" w:eastAsia="微软雅黑"/>
        </w:rPr>
        <w:t xml:space="preserve"> </w:t>
      </w:r>
      <w:r>
        <w:rPr>
          <w:color w:val="000000" w:themeColor="text1"/>
          <w14:textFill>
            <w14:solidFill>
              <w14:schemeClr w14:val="tx1"/>
            </w14:solidFill>
          </w14:textFill>
        </w:rPr>
        <w:t>Model is identified from NW to UE via over-the-air signaling.</w:t>
      </w:r>
    </w:p>
    <w:p>
      <w:pPr>
        <w:numPr>
          <w:ilvl w:val="0"/>
          <w:numId w:val="18"/>
        </w:numPr>
        <w:snapToGrid w:val="0"/>
        <w:spacing w:before="72" w:beforeLines="30" w:after="72" w:afterLines="30" w:line="288" w:lineRule="auto"/>
      </w:pPr>
      <w:r>
        <w:rPr>
          <w:rFonts w:hint="eastAsia" w:eastAsia="微软雅黑"/>
        </w:rPr>
        <w:t>For</w:t>
      </w:r>
      <w:r>
        <w:rPr>
          <w:rFonts w:eastAsia="微软雅黑"/>
        </w:rPr>
        <w:t xml:space="preserve"> model identification Type </w:t>
      </w:r>
      <w:r>
        <w:rPr>
          <w:rFonts w:hint="eastAsia" w:eastAsia="微软雅黑"/>
        </w:rPr>
        <w:t>C</w:t>
      </w:r>
      <w:r>
        <w:rPr>
          <w:rFonts w:eastAsia="微软雅黑"/>
        </w:rPr>
        <w:t xml:space="preserve">, </w:t>
      </w:r>
      <w:r>
        <w:rPr>
          <w:rFonts w:hint="eastAsia" w:eastAsia="微软雅黑"/>
        </w:rPr>
        <w:t>the naming procedures of a model are also defined clearly in specification. UE reports its support of model identification process to network side. After that, network can request/initiate the model identification process. In this process, network transfers the model to UE and the corresponding model description information</w:t>
      </w:r>
      <w:r>
        <w:rPr>
          <w:rFonts w:eastAsia="微软雅黑"/>
        </w:rPr>
        <w:t xml:space="preserve"> </w:t>
      </w:r>
      <w:r>
        <w:rPr>
          <w:rFonts w:hint="eastAsia" w:eastAsia="微软雅黑"/>
        </w:rPr>
        <w:t xml:space="preserve">(e.g., applicable conditions of the model) about the model is also provided along with the model transfer. Meanwhile, a global </w:t>
      </w:r>
      <w:r>
        <w:rPr>
          <w:rFonts w:eastAsia="微软雅黑"/>
        </w:rPr>
        <w:t>‘</w:t>
      </w:r>
      <w:r>
        <w:rPr>
          <w:rFonts w:hint="eastAsia" w:eastAsia="微软雅黑"/>
        </w:rPr>
        <w:t>unique</w:t>
      </w:r>
      <w:r>
        <w:rPr>
          <w:rFonts w:eastAsia="微软雅黑"/>
        </w:rPr>
        <w:t>’</w:t>
      </w:r>
      <w:r>
        <w:rPr>
          <w:rFonts w:hint="eastAsia" w:eastAsia="微软雅黑"/>
        </w:rPr>
        <w:t xml:space="preserve"> model ID to the model is also provided to UE. The model ID assignment should be further studied by other working groups</w:t>
      </w:r>
      <w:r>
        <w:rPr>
          <w:rFonts w:eastAsia="微软雅黑"/>
        </w:rPr>
        <w:t xml:space="preserve"> </w:t>
      </w:r>
      <w:r>
        <w:rPr>
          <w:rFonts w:hint="eastAsia" w:eastAsia="微软雅黑"/>
        </w:rPr>
        <w:t>(e.g., how to register/de-register the model and how to conduct certification test on the model). The model being transferred</w:t>
      </w:r>
      <w:r>
        <w:rPr>
          <w:rFonts w:eastAsia="微软雅黑"/>
        </w:rPr>
        <w:t xml:space="preserve"> is a new model</w:t>
      </w:r>
      <w:r>
        <w:rPr>
          <w:rFonts w:hint="eastAsia" w:eastAsia="微软雅黑"/>
        </w:rPr>
        <w:t>. For example, as agreed in RAN1#112 for different model transfer options, the Type C is to identify a new model during model transfer via Case z4 (model transfer in open format of a known model structure at UE) or Case z5 (</w:t>
      </w:r>
      <w:r>
        <w:rPr>
          <w:rFonts w:hint="eastAsia" w:eastAsia="微软雅黑"/>
        </w:rPr>
        <w:tab/>
      </w:r>
      <w:r>
        <w:rPr>
          <w:rFonts w:hint="eastAsia" w:eastAsia="微软雅黑"/>
        </w:rPr>
        <w:t xml:space="preserve">model transfer in open format of an unknown model structure at UE). </w:t>
      </w:r>
    </w:p>
    <w:p>
      <w:pPr>
        <w:numPr>
          <w:ilvl w:val="0"/>
          <w:numId w:val="18"/>
        </w:numPr>
        <w:snapToGrid w:val="0"/>
        <w:spacing w:before="72" w:beforeLines="30" w:after="72" w:afterLines="30" w:line="288" w:lineRule="auto"/>
      </w:pPr>
      <w:r>
        <w:rPr>
          <w:rFonts w:hint="eastAsia" w:eastAsia="微软雅黑"/>
        </w:rPr>
        <w:t xml:space="preserve"> In order to support the model identification process, UE should indicate the corresponding UE capabilities to network. For example, the UE capability should include the support of model identification process, the supported conditions of the model description information and model description format for the model transfer. In addition, UE may also report the supported model structure for model parameter update based on Case z5.</w:t>
      </w:r>
    </w:p>
    <w:p>
      <w:pPr>
        <w:pStyle w:val="25"/>
        <w:spacing w:before="72" w:after="72"/>
        <w:rPr>
          <w:lang w:val="en-US" w:eastAsia="zh-CN"/>
        </w:rPr>
      </w:pPr>
      <w:bookmarkStart w:id="48" w:name="_Toc27276"/>
      <w:bookmarkStart w:id="49" w:name="_Toc2121"/>
      <w:bookmarkStart w:id="50" w:name="_Toc6886"/>
      <w:r>
        <w:rPr>
          <w:rFonts w:hint="eastAsia"/>
          <w:lang w:val="en-US" w:eastAsia="zh-CN"/>
        </w:rPr>
        <w:t xml:space="preserve">For model identification </w:t>
      </w:r>
      <w:r>
        <w:rPr>
          <w:lang w:val="en-US" w:eastAsia="zh-CN"/>
        </w:rPr>
        <w:t>via over-the-air signaling</w:t>
      </w:r>
      <w:r>
        <w:rPr>
          <w:rFonts w:hint="eastAsia"/>
          <w:lang w:val="en-US" w:eastAsia="zh-CN"/>
        </w:rPr>
        <w:t xml:space="preserve">, there is no clear benefit to assign the global </w:t>
      </w:r>
      <w:r>
        <w:rPr>
          <w:lang w:val="en-US" w:eastAsia="zh-CN"/>
        </w:rPr>
        <w:t>‘</w:t>
      </w:r>
      <w:r>
        <w:rPr>
          <w:rFonts w:hint="eastAsia"/>
          <w:lang w:val="en-US" w:eastAsia="zh-CN"/>
        </w:rPr>
        <w:t>unique</w:t>
      </w:r>
      <w:r>
        <w:rPr>
          <w:lang w:val="en-US" w:eastAsia="zh-CN"/>
        </w:rPr>
        <w:t>’</w:t>
      </w:r>
      <w:r>
        <w:rPr>
          <w:rFonts w:hint="eastAsia"/>
          <w:lang w:val="en-US" w:eastAsia="zh-CN"/>
        </w:rPr>
        <w:t xml:space="preserve"> model ID to model description information only.</w:t>
      </w:r>
      <w:bookmarkEnd w:id="48"/>
      <w:r>
        <w:rPr>
          <w:rFonts w:hint="eastAsia"/>
          <w:lang w:val="en-US" w:eastAsia="zh-CN"/>
        </w:rPr>
        <w:t xml:space="preserve"> </w:t>
      </w:r>
    </w:p>
    <w:p>
      <w:pPr>
        <w:pStyle w:val="23"/>
        <w:spacing w:before="72" w:after="72"/>
        <w:jc w:val="both"/>
        <w:rPr>
          <w:lang w:val="en-US"/>
        </w:rPr>
      </w:pPr>
      <w:bookmarkStart w:id="51" w:name="_Toc852"/>
      <w:r>
        <w:rPr>
          <w:lang w:val="en-US"/>
        </w:rPr>
        <w:t>Model identification process via over-the-air signaling should always be accompanied by the model transfer</w:t>
      </w:r>
      <w:r>
        <w:rPr>
          <w:rFonts w:hint="eastAsia"/>
          <w:lang w:val="en-US"/>
        </w:rPr>
        <w:t>, model description information</w:t>
      </w:r>
      <w:r>
        <w:rPr>
          <w:rFonts w:hint="eastAsia"/>
          <w:lang w:val="en-US" w:eastAsia="zh-CN"/>
        </w:rPr>
        <w:t>,</w:t>
      </w:r>
      <w:r>
        <w:rPr>
          <w:rFonts w:hint="eastAsia"/>
          <w:lang w:val="en-US"/>
        </w:rPr>
        <w:t xml:space="preserve"> and </w:t>
      </w:r>
      <w:r>
        <w:rPr>
          <w:lang w:val="en-US"/>
        </w:rPr>
        <w:t>model ID assignment.</w:t>
      </w:r>
      <w:bookmarkEnd w:id="49"/>
      <w:bookmarkEnd w:id="50"/>
      <w:bookmarkEnd w:id="51"/>
    </w:p>
    <w:p>
      <w:pPr>
        <w:pStyle w:val="23"/>
        <w:spacing w:before="72" w:after="72"/>
        <w:jc w:val="both"/>
        <w:rPr>
          <w:lang w:val="en-US"/>
        </w:rPr>
      </w:pPr>
      <w:bookmarkStart w:id="52" w:name="_Toc31327"/>
      <w:bookmarkStart w:id="53" w:name="_Toc25991"/>
      <w:bookmarkStart w:id="54" w:name="_Toc18505"/>
      <w:r>
        <w:rPr>
          <w:lang w:val="en-US"/>
        </w:rPr>
        <w:t>For model identification of UE-side or UE-part of two-sided models, categorize model identification types as follows, and further study relevant aspects, necessity, and specification impact.</w:t>
      </w:r>
      <w:bookmarkEnd w:id="52"/>
      <w:bookmarkEnd w:id="53"/>
      <w:bookmarkEnd w:id="54"/>
    </w:p>
    <w:p>
      <w:pPr>
        <w:pStyle w:val="26"/>
        <w:spacing w:before="72" w:after="72"/>
      </w:pPr>
      <w:bookmarkStart w:id="55" w:name="_Toc3329"/>
      <w:bookmarkStart w:id="56" w:name="_Toc11644"/>
      <w:bookmarkStart w:id="57" w:name="_Toc26540"/>
      <w:r>
        <w:t>Type A: Model is identified to NW (if applicable) and UE (if applicable) without over-the-air signaling.</w:t>
      </w:r>
      <w:bookmarkEnd w:id="55"/>
      <w:bookmarkEnd w:id="56"/>
      <w:bookmarkEnd w:id="57"/>
    </w:p>
    <w:p>
      <w:pPr>
        <w:pStyle w:val="28"/>
        <w:numPr>
          <w:ilvl w:val="1"/>
          <w:numId w:val="17"/>
        </w:numPr>
        <w:ind w:left="1068"/>
      </w:pPr>
      <w:bookmarkStart w:id="58" w:name="_Toc21345"/>
      <w:r>
        <w:t xml:space="preserve">The model is assigned with a </w:t>
      </w:r>
      <w:r>
        <w:rPr>
          <w:rFonts w:hint="eastAsia"/>
        </w:rPr>
        <w:t xml:space="preserve">global </w:t>
      </w:r>
      <w:r>
        <w:t>‘</w:t>
      </w:r>
      <w:r>
        <w:rPr>
          <w:rFonts w:hint="eastAsia"/>
        </w:rPr>
        <w:t>unique</w:t>
      </w:r>
      <w:r>
        <w:t>’</w:t>
      </w:r>
      <w:r>
        <w:rPr>
          <w:rFonts w:hint="eastAsia"/>
        </w:rPr>
        <w:t xml:space="preserve"> </w:t>
      </w:r>
      <w:r>
        <w:t xml:space="preserve">model ID during the model identification, which may be used in over-the-air signaling after </w:t>
      </w:r>
      <w:r>
        <w:rPr>
          <w:rFonts w:hint="eastAsia"/>
        </w:rPr>
        <w:t xml:space="preserve">the </w:t>
      </w:r>
      <w:r>
        <w:t>model identification</w:t>
      </w:r>
      <w:r>
        <w:rPr>
          <w:rFonts w:hint="eastAsia"/>
        </w:rPr>
        <w:t xml:space="preserve"> process</w:t>
      </w:r>
      <w:r>
        <w:t>.</w:t>
      </w:r>
      <w:bookmarkEnd w:id="58"/>
      <w:r>
        <w:t xml:space="preserve"> </w:t>
      </w:r>
    </w:p>
    <w:p>
      <w:pPr>
        <w:pStyle w:val="26"/>
        <w:spacing w:before="72" w:after="72"/>
        <w:rPr>
          <w:color w:val="000000" w:themeColor="text1"/>
          <w14:textFill>
            <w14:solidFill>
              <w14:schemeClr w14:val="tx1"/>
            </w14:solidFill>
          </w14:textFill>
        </w:rPr>
      </w:pPr>
      <w:bookmarkStart w:id="59" w:name="_Toc5276"/>
      <w:bookmarkStart w:id="60" w:name="_Toc18859"/>
      <w:bookmarkStart w:id="61" w:name="_Toc19495"/>
      <w:r>
        <w:rPr>
          <w:color w:val="000000" w:themeColor="text1"/>
          <w14:textFill>
            <w14:solidFill>
              <w14:schemeClr w14:val="tx1"/>
            </w14:solidFill>
          </w14:textFill>
        </w:rPr>
        <w:t>Type B: Model is identified from UE to NW via over-the-air signaling.</w:t>
      </w:r>
      <w:bookmarkEnd w:id="59"/>
      <w:bookmarkEnd w:id="60"/>
      <w:bookmarkEnd w:id="61"/>
    </w:p>
    <w:p>
      <w:pPr>
        <w:pStyle w:val="28"/>
        <w:numPr>
          <w:ilvl w:val="1"/>
          <w:numId w:val="17"/>
        </w:numPr>
        <w:ind w:left="1068"/>
      </w:pPr>
      <w:bookmarkStart w:id="62" w:name="_Toc9273"/>
      <w:r>
        <w:rPr>
          <w:rFonts w:hint="eastAsia"/>
        </w:rPr>
        <w:t>A model is transferred from a UE to network. The corresponding model description information</w:t>
      </w:r>
      <w:r>
        <w:t xml:space="preserve"> </w:t>
      </w:r>
      <w:r>
        <w:rPr>
          <w:rFonts w:hint="eastAsia"/>
        </w:rPr>
        <w:t>(e.g., applicable conditions of the model) about the model is also provided along with the model transfer.</w:t>
      </w:r>
      <w:bookmarkEnd w:id="62"/>
      <w:r>
        <w:rPr>
          <w:rFonts w:hint="eastAsia"/>
        </w:rPr>
        <w:t xml:space="preserve"> </w:t>
      </w:r>
    </w:p>
    <w:p>
      <w:pPr>
        <w:pStyle w:val="28"/>
        <w:numPr>
          <w:ilvl w:val="1"/>
          <w:numId w:val="17"/>
        </w:numPr>
        <w:ind w:left="1068"/>
      </w:pPr>
      <w:bookmarkStart w:id="63" w:name="_Toc3088"/>
      <w:r>
        <w:rPr>
          <w:rFonts w:hint="eastAsia"/>
        </w:rPr>
        <w:t xml:space="preserve">The model is assigned with a global </w:t>
      </w:r>
      <w:r>
        <w:t>‘</w:t>
      </w:r>
      <w:r>
        <w:rPr>
          <w:rFonts w:hint="eastAsia"/>
        </w:rPr>
        <w:t>unique</w:t>
      </w:r>
      <w:r>
        <w:t>’</w:t>
      </w:r>
      <w:r>
        <w:rPr>
          <w:rFonts w:hint="eastAsia"/>
        </w:rPr>
        <w:t xml:space="preserve"> model ID by NW side.</w:t>
      </w:r>
      <w:bookmarkEnd w:id="63"/>
      <w:r>
        <w:rPr>
          <w:rFonts w:hint="eastAsia"/>
        </w:rPr>
        <w:t xml:space="preserve"> </w:t>
      </w:r>
    </w:p>
    <w:p>
      <w:pPr>
        <w:pStyle w:val="26"/>
        <w:spacing w:before="72" w:after="72"/>
        <w:rPr>
          <w:color w:val="000000" w:themeColor="text1"/>
          <w14:textFill>
            <w14:solidFill>
              <w14:schemeClr w14:val="tx1"/>
            </w14:solidFill>
          </w14:textFill>
        </w:rPr>
      </w:pPr>
      <w:bookmarkStart w:id="64" w:name="_Toc2095"/>
      <w:bookmarkStart w:id="65" w:name="_Toc16181"/>
      <w:bookmarkStart w:id="66" w:name="_Toc23462"/>
      <w:r>
        <w:rPr>
          <w:color w:val="000000" w:themeColor="text1"/>
          <w14:textFill>
            <w14:solidFill>
              <w14:schemeClr w14:val="tx1"/>
            </w14:solidFill>
          </w14:textFill>
        </w:rPr>
        <w:t xml:space="preserve">Type C: Model is </w:t>
      </w:r>
      <w:r>
        <w:t xml:space="preserve">identified </w:t>
      </w:r>
      <w:r>
        <w:rPr>
          <w:color w:val="000000" w:themeColor="text1"/>
          <w14:textFill>
            <w14:solidFill>
              <w14:schemeClr w14:val="tx1"/>
            </w14:solidFill>
          </w14:textFill>
        </w:rPr>
        <w:t>from NW to UE via over-the-air signaling.</w:t>
      </w:r>
      <w:bookmarkEnd w:id="64"/>
      <w:bookmarkEnd w:id="65"/>
      <w:bookmarkEnd w:id="66"/>
      <w:r>
        <w:rPr>
          <w:color w:val="000000" w:themeColor="text1"/>
          <w14:textFill>
            <w14:solidFill>
              <w14:schemeClr w14:val="tx1"/>
            </w14:solidFill>
          </w14:textFill>
        </w:rPr>
        <w:t xml:space="preserve"> </w:t>
      </w:r>
    </w:p>
    <w:p>
      <w:pPr>
        <w:pStyle w:val="28"/>
        <w:numPr>
          <w:ilvl w:val="1"/>
          <w:numId w:val="17"/>
        </w:numPr>
        <w:ind w:left="1068"/>
      </w:pPr>
      <w:bookmarkStart w:id="67" w:name="_Toc5574"/>
      <w:r>
        <w:rPr>
          <w:rFonts w:hint="eastAsia"/>
        </w:rPr>
        <w:t>A model is transferred from network to a UE. The corresponding model description information (e.g., applicable conditions of the model) about the model is provided along with the model transfer.</w:t>
      </w:r>
      <w:bookmarkEnd w:id="67"/>
      <w:r>
        <w:rPr>
          <w:rFonts w:hint="eastAsia"/>
        </w:rPr>
        <w:t xml:space="preserve"> </w:t>
      </w:r>
    </w:p>
    <w:p>
      <w:pPr>
        <w:pStyle w:val="28"/>
        <w:numPr>
          <w:ilvl w:val="1"/>
          <w:numId w:val="17"/>
        </w:numPr>
        <w:ind w:left="1068"/>
      </w:pPr>
      <w:bookmarkStart w:id="68" w:name="_Toc29230"/>
      <w:r>
        <w:rPr>
          <w:rFonts w:hint="eastAsia"/>
        </w:rPr>
        <w:t>A</w:t>
      </w:r>
      <w:r>
        <w:t xml:space="preserve"> global ‘unique’ model ID to the model is also provided to UE</w:t>
      </w:r>
      <w:r>
        <w:rPr>
          <w:rFonts w:hint="eastAsia"/>
        </w:rPr>
        <w:t xml:space="preserve"> from network side.</w:t>
      </w:r>
      <w:bookmarkEnd w:id="68"/>
    </w:p>
    <w:p>
      <w:pPr>
        <w:pStyle w:val="26"/>
        <w:spacing w:before="72" w:after="72"/>
      </w:pPr>
      <w:bookmarkStart w:id="69" w:name="_Toc14473"/>
      <w:bookmarkStart w:id="70" w:name="_Toc27724"/>
      <w:bookmarkStart w:id="71" w:name="_Toc7800"/>
      <w:r>
        <w:rPr>
          <w:rFonts w:hint="eastAsia"/>
        </w:rPr>
        <w:t>FFS: UE capabilities to support the model identification process</w:t>
      </w:r>
      <w:bookmarkEnd w:id="69"/>
      <w:bookmarkEnd w:id="70"/>
      <w:bookmarkEnd w:id="71"/>
    </w:p>
    <w:p>
      <w:pPr>
        <w:pStyle w:val="26"/>
        <w:spacing w:before="72" w:after="72"/>
      </w:pPr>
      <w:bookmarkStart w:id="72" w:name="_Toc1790"/>
      <w:bookmarkStart w:id="73" w:name="_Toc221"/>
      <w:bookmarkStart w:id="74" w:name="_Toc18298"/>
      <w:r>
        <w:t>Note: This does not imply that model identification is necessary.</w:t>
      </w:r>
      <w:bookmarkEnd w:id="72"/>
      <w:bookmarkEnd w:id="73"/>
      <w:bookmarkEnd w:id="74"/>
    </w:p>
    <w:p>
      <w:pPr>
        <w:pStyle w:val="26"/>
        <w:spacing w:before="72" w:after="72"/>
      </w:pPr>
      <w:bookmarkStart w:id="75" w:name="_Toc17966"/>
      <w:bookmarkStart w:id="76" w:name="_Toc26527"/>
      <w:bookmarkStart w:id="77" w:name="_Toc20375"/>
      <w:r>
        <w:rPr>
          <w:rFonts w:hint="eastAsia"/>
        </w:rPr>
        <w:t>Note: Model identification process may have specification impacts on</w:t>
      </w:r>
      <w:r>
        <w:t xml:space="preserve"> other WGs including SA</w:t>
      </w:r>
      <w:bookmarkEnd w:id="75"/>
      <w:bookmarkEnd w:id="76"/>
      <w:bookmarkEnd w:id="77"/>
    </w:p>
    <w:p>
      <w:pPr>
        <w:snapToGrid w:val="0"/>
        <w:spacing w:before="72" w:beforeLines="30" w:after="72" w:afterLines="30" w:line="288" w:lineRule="auto"/>
        <w:rPr>
          <w:color w:val="000000" w:themeColor="text1"/>
          <w14:textFill>
            <w14:solidFill>
              <w14:schemeClr w14:val="tx1"/>
            </w14:solidFill>
          </w14:textFill>
        </w:rPr>
      </w:pPr>
    </w:p>
    <w:p>
      <w:pPr>
        <w:pStyle w:val="4"/>
        <w:snapToGrid w:val="0"/>
        <w:spacing w:before="72" w:beforeLines="30" w:after="72" w:afterLines="30" w:line="288" w:lineRule="auto"/>
        <w:ind w:left="420"/>
        <w:rPr>
          <w:rFonts w:eastAsia="微软雅黑"/>
          <w:b w:val="0"/>
          <w:bCs w:val="0"/>
          <w:u w:val="none"/>
        </w:rPr>
      </w:pPr>
      <w:r>
        <w:rPr>
          <w:rFonts w:eastAsia="微软雅黑"/>
          <w:b w:val="0"/>
          <w:bCs w:val="0"/>
          <w:u w:val="none"/>
        </w:rPr>
        <w:t xml:space="preserve">A unified </w:t>
      </w:r>
      <w:r>
        <w:rPr>
          <w:rFonts w:hint="eastAsia"/>
          <w:b w:val="0"/>
          <w:bCs w:val="0"/>
          <w:u w:val="none"/>
        </w:rPr>
        <w:t xml:space="preserve">solution for </w:t>
      </w:r>
      <w:r>
        <w:rPr>
          <w:rFonts w:hint="eastAsia"/>
          <w:b w:val="0"/>
          <w:bCs w:val="0"/>
          <w:u w:val="none"/>
          <w:lang w:val="en-US" w:eastAsia="zh-CN"/>
        </w:rPr>
        <w:t>model&amp;functionality</w:t>
      </w:r>
      <w:r>
        <w:rPr>
          <w:rFonts w:hint="eastAsia"/>
          <w:b w:val="0"/>
          <w:bCs w:val="0"/>
          <w:u w:val="none"/>
        </w:rPr>
        <w:t xml:space="preserve"> management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spacing w:before="72" w:beforeLines="30" w:after="72" w:afterLines="30" w:line="288" w:lineRule="auto"/>
              <w:rPr>
                <w:b/>
                <w:bCs/>
                <w:u w:val="single"/>
              </w:rPr>
            </w:pPr>
            <w:r>
              <w:rPr>
                <w:b/>
                <w:bCs/>
                <w:u w:val="single"/>
              </w:rPr>
              <w:t>Agreement in RAN1#112bis-e:</w:t>
            </w:r>
          </w:p>
          <w:p>
            <w:pPr>
              <w:widowControl/>
              <w:numPr>
                <w:ilvl w:val="0"/>
                <w:numId w:val="19"/>
              </w:numPr>
              <w:spacing w:before="72" w:beforeLines="30" w:after="72" w:afterLines="30" w:line="288" w:lineRule="auto"/>
            </w:pPr>
            <w:r>
              <w:t>For AI/ML functionality identification and functionality-based LCM of UE-side models and/or UE-part of two-sided models:</w:t>
            </w:r>
          </w:p>
          <w:p>
            <w:pPr>
              <w:pStyle w:val="31"/>
              <w:widowControl/>
              <w:numPr>
                <w:ilvl w:val="1"/>
                <w:numId w:val="20"/>
              </w:numPr>
              <w:spacing w:before="72" w:beforeLines="30" w:after="72" w:afterLines="30" w:line="288" w:lineRule="auto"/>
              <w:ind w:left="1240"/>
              <w:rPr>
                <w:sz w:val="20"/>
                <w:szCs w:val="20"/>
              </w:rPr>
            </w:pPr>
            <w:r>
              <w:rPr>
                <w:sz w:val="20"/>
                <w:szCs w:val="20"/>
              </w:rPr>
              <w:t>Functionality refers to</w:t>
            </w:r>
            <w:r>
              <w:rPr>
                <w:rFonts w:eastAsia="MS Mincho"/>
                <w:sz w:val="20"/>
                <w:szCs w:val="20"/>
                <w:lang w:eastAsia="ja-JP"/>
              </w:rPr>
              <w:t xml:space="preserve"> an AI/ML-enabled Feature/FG enabled by configuration(s), where configuration(s) is(are) supported based on conditions indicated by UE capability.</w:t>
            </w:r>
          </w:p>
          <w:p>
            <w:pPr>
              <w:pStyle w:val="31"/>
              <w:widowControl/>
              <w:numPr>
                <w:ilvl w:val="1"/>
                <w:numId w:val="20"/>
              </w:numPr>
              <w:spacing w:before="72" w:beforeLines="30" w:after="72" w:afterLines="30" w:line="288" w:lineRule="auto"/>
              <w:ind w:left="1240"/>
              <w:rPr>
                <w:rFonts w:eastAsia="MS Mincho"/>
                <w:sz w:val="20"/>
                <w:szCs w:val="20"/>
                <w:lang w:eastAsia="ja-JP"/>
              </w:rPr>
            </w:pPr>
            <w:r>
              <w:rPr>
                <w:sz w:val="20"/>
                <w:szCs w:val="20"/>
              </w:rPr>
              <w:t>Correspo</w:t>
            </w:r>
            <w:r>
              <w:rPr>
                <w:rFonts w:eastAsia="MS Mincho"/>
                <w:sz w:val="20"/>
                <w:szCs w:val="20"/>
                <w:lang w:eastAsia="ja-JP"/>
              </w:rPr>
              <w:t>ndingly, functionality-based LCM operates based on, at least, one configuration of AI/ML-enabled Feature/FG or specific configurations of an AI/ML-enabled Feature/FG.</w:t>
            </w:r>
          </w:p>
          <w:p>
            <w:pPr>
              <w:pStyle w:val="31"/>
              <w:widowControl/>
              <w:numPr>
                <w:ilvl w:val="2"/>
                <w:numId w:val="20"/>
              </w:numPr>
              <w:spacing w:before="72" w:beforeLines="30" w:after="72" w:afterLines="30" w:line="288" w:lineRule="auto"/>
              <w:ind w:left="1060"/>
              <w:rPr>
                <w:rFonts w:eastAsia="MS Mincho"/>
                <w:sz w:val="20"/>
                <w:szCs w:val="20"/>
                <w:lang w:eastAsia="ja-JP"/>
              </w:rPr>
            </w:pPr>
            <w:r>
              <w:rPr>
                <w:rFonts w:eastAsia="MS Mincho"/>
                <w:sz w:val="20"/>
                <w:szCs w:val="20"/>
                <w:lang w:eastAsia="ja-JP"/>
              </w:rPr>
              <w:t>FFS: Signaling to support functionality-based LCM operations, e.g., to activate/deactivate/fallback/switch AI/ML functionalities</w:t>
            </w:r>
          </w:p>
          <w:p>
            <w:pPr>
              <w:pStyle w:val="31"/>
              <w:widowControl/>
              <w:numPr>
                <w:ilvl w:val="2"/>
                <w:numId w:val="20"/>
              </w:numPr>
              <w:spacing w:before="72" w:beforeLines="30" w:after="72" w:afterLines="30" w:line="288" w:lineRule="auto"/>
              <w:ind w:left="1060"/>
              <w:rPr>
                <w:sz w:val="20"/>
                <w:szCs w:val="20"/>
              </w:rPr>
            </w:pPr>
            <w:r>
              <w:rPr>
                <w:rFonts w:eastAsia="MS Mincho"/>
                <w:sz w:val="20"/>
                <w:szCs w:val="20"/>
                <w:lang w:eastAsia="ja-JP"/>
              </w:rPr>
              <w:t>FFS: Whether/how to address additional conditions (e.g., scenarios, sites, and datasets) to aid UE-side transparent model operat</w:t>
            </w:r>
            <w:r>
              <w:rPr>
                <w:sz w:val="20"/>
                <w:szCs w:val="20"/>
              </w:rPr>
              <w:t>ions (without model identification) at the Functionality level</w:t>
            </w:r>
          </w:p>
          <w:p>
            <w:pPr>
              <w:pStyle w:val="31"/>
              <w:widowControl/>
              <w:numPr>
                <w:ilvl w:val="2"/>
                <w:numId w:val="20"/>
              </w:numPr>
              <w:spacing w:before="72" w:beforeLines="30" w:after="72" w:afterLines="30" w:line="288" w:lineRule="auto"/>
              <w:ind w:left="1060"/>
              <w:rPr>
                <w:sz w:val="20"/>
                <w:szCs w:val="20"/>
              </w:rPr>
            </w:pPr>
            <w:r>
              <w:rPr>
                <w:rFonts w:eastAsia="MS Mincho"/>
                <w:sz w:val="20"/>
                <w:szCs w:val="20"/>
                <w:lang w:eastAsia="ja-JP"/>
              </w:rPr>
              <w:t>FFS: Other aspects that may constitute Functionality</w:t>
            </w:r>
          </w:p>
          <w:p>
            <w:pPr>
              <w:pStyle w:val="31"/>
              <w:widowControl/>
              <w:numPr>
                <w:ilvl w:val="1"/>
                <w:numId w:val="20"/>
              </w:numPr>
              <w:spacing w:before="72" w:beforeLines="30" w:after="72" w:afterLines="30" w:line="288" w:lineRule="auto"/>
              <w:ind w:left="1240"/>
              <w:rPr>
                <w:sz w:val="20"/>
                <w:szCs w:val="20"/>
              </w:rPr>
            </w:pPr>
            <w:r>
              <w:rPr>
                <w:sz w:val="20"/>
                <w:szCs w:val="20"/>
              </w:rPr>
              <w:t>FFS: which aspects should be specified as conditions of a Feature/FG available for functionality will be discussed in each sub-use-case agenda.</w:t>
            </w:r>
          </w:p>
          <w:p>
            <w:pPr>
              <w:widowControl/>
              <w:numPr>
                <w:ilvl w:val="0"/>
                <w:numId w:val="19"/>
              </w:numPr>
              <w:spacing w:before="72" w:beforeLines="30" w:after="72" w:afterLines="30" w:line="288" w:lineRule="auto"/>
              <w:rPr>
                <w:rFonts w:eastAsia="宋体"/>
              </w:rPr>
            </w:pPr>
            <w:r>
              <w:t>For AI/ML model identification and model-ID-based LCM of UE-side models and/or UE-part of two-sided models:</w:t>
            </w:r>
          </w:p>
          <w:p>
            <w:pPr>
              <w:pStyle w:val="31"/>
              <w:widowControl/>
              <w:numPr>
                <w:ilvl w:val="1"/>
                <w:numId w:val="20"/>
              </w:numPr>
              <w:spacing w:before="72" w:beforeLines="30" w:after="72" w:afterLines="30" w:line="288" w:lineRule="auto"/>
              <w:ind w:left="1240"/>
              <w:rPr>
                <w:sz w:val="20"/>
                <w:szCs w:val="20"/>
              </w:rPr>
            </w:pPr>
            <w:r>
              <w:rPr>
                <w:sz w:val="20"/>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pPr>
              <w:pStyle w:val="31"/>
              <w:widowControl/>
              <w:numPr>
                <w:ilvl w:val="1"/>
                <w:numId w:val="20"/>
              </w:numPr>
              <w:spacing w:before="72" w:beforeLines="30" w:after="72" w:afterLines="30" w:line="288" w:lineRule="auto"/>
              <w:ind w:left="1240"/>
              <w:rPr>
                <w:sz w:val="20"/>
                <w:szCs w:val="20"/>
              </w:rPr>
            </w:pPr>
            <w:r>
              <w:rPr>
                <w:sz w:val="20"/>
                <w:szCs w:val="20"/>
              </w:rPr>
              <w:t>FFS: Which aspects should be considered as additional conditions, and how to include them into model description information during model identification will be discussed in each sub-use-case agenda.</w:t>
            </w:r>
          </w:p>
          <w:p>
            <w:pPr>
              <w:pStyle w:val="31"/>
              <w:widowControl/>
              <w:numPr>
                <w:ilvl w:val="1"/>
                <w:numId w:val="20"/>
              </w:numPr>
              <w:spacing w:before="72" w:beforeLines="30" w:after="72" w:afterLines="30" w:line="288" w:lineRule="auto"/>
              <w:ind w:left="1240"/>
              <w:rPr>
                <w:sz w:val="20"/>
                <w:szCs w:val="20"/>
              </w:rPr>
            </w:pPr>
            <w:r>
              <w:rPr>
                <w:sz w:val="20"/>
                <w:szCs w:val="20"/>
              </w:rPr>
              <w:t>FFS: Relationship between functionality and model, e.g., whether a model may be identified referring to functionality(s).</w:t>
            </w:r>
          </w:p>
          <w:p>
            <w:pPr>
              <w:pStyle w:val="31"/>
              <w:widowControl/>
              <w:numPr>
                <w:ilvl w:val="1"/>
                <w:numId w:val="20"/>
              </w:numPr>
              <w:spacing w:before="72" w:beforeLines="30" w:after="72" w:afterLines="30" w:line="288" w:lineRule="auto"/>
              <w:ind w:left="1240"/>
              <w:rPr>
                <w:sz w:val="20"/>
                <w:szCs w:val="20"/>
              </w:rPr>
            </w:pPr>
            <w:r>
              <w:rPr>
                <w:sz w:val="20"/>
                <w:szCs w:val="20"/>
              </w:rPr>
              <w:t>FFS: relationship between functionality-based LCM and model-ID-based LCM</w:t>
            </w:r>
          </w:p>
          <w:p>
            <w:pPr>
              <w:pStyle w:val="31"/>
              <w:widowControl/>
              <w:numPr>
                <w:ilvl w:val="0"/>
                <w:numId w:val="20"/>
              </w:numPr>
              <w:spacing w:before="72" w:beforeLines="30" w:after="72" w:afterLines="30" w:line="288" w:lineRule="auto"/>
              <w:ind w:left="880"/>
              <w:rPr>
                <w:sz w:val="20"/>
                <w:szCs w:val="20"/>
              </w:rPr>
            </w:pPr>
            <w:r>
              <w:rPr>
                <w:sz w:val="20"/>
                <w:szCs w:val="20"/>
              </w:rPr>
              <w:t>Note: Applicability of functionality-based LCM and model-ID-based LCM is a separate discussion.</w:t>
            </w:r>
          </w:p>
          <w:p>
            <w:pPr>
              <w:widowControl/>
              <w:spacing w:before="72" w:beforeLines="30" w:after="72" w:afterLines="30" w:line="288" w:lineRule="auto"/>
              <w:rPr>
                <w:iCs/>
              </w:rPr>
            </w:pPr>
          </w:p>
          <w:p>
            <w:pPr>
              <w:widowControl/>
              <w:spacing w:before="72" w:beforeLines="30" w:after="72" w:afterLines="30" w:line="288" w:lineRule="auto"/>
              <w:rPr>
                <w:rFonts w:eastAsia="等线"/>
                <w:b/>
                <w:bCs/>
                <w:u w:val="single"/>
              </w:rPr>
            </w:pPr>
            <w:r>
              <w:rPr>
                <w:rFonts w:eastAsia="等线"/>
                <w:b/>
                <w:bCs/>
                <w:u w:val="single"/>
              </w:rPr>
              <w:t>Conclusion</w:t>
            </w:r>
            <w:r>
              <w:rPr>
                <w:rFonts w:hint="eastAsia" w:eastAsia="等线"/>
                <w:b/>
                <w:bCs/>
                <w:u w:val="single"/>
              </w:rPr>
              <w:t xml:space="preserve"> in RAN1#112bis-e</w:t>
            </w:r>
          </w:p>
          <w:p>
            <w:pPr>
              <w:widowControl/>
              <w:spacing w:before="72" w:beforeLines="30" w:after="72" w:afterLines="30" w:line="288" w:lineRule="auto"/>
            </w:pPr>
            <w:r>
              <w:t>From RAN1 perspective, it is clarified that an AI/ML model identified by a model ID may be logical, and how it maps to physical AI/ML model(s) may be up to implementation.</w:t>
            </w:r>
          </w:p>
          <w:p>
            <w:pPr>
              <w:pStyle w:val="31"/>
              <w:widowControl/>
              <w:numPr>
                <w:ilvl w:val="0"/>
                <w:numId w:val="21"/>
              </w:numPr>
              <w:spacing w:before="72" w:beforeLines="30" w:after="72" w:afterLines="30" w:line="288" w:lineRule="auto"/>
              <w:rPr>
                <w:rFonts w:eastAsia="微软雅黑"/>
              </w:rPr>
            </w:pPr>
            <w:r>
              <w:rPr>
                <w:sz w:val="20"/>
                <w:szCs w:val="20"/>
              </w:rPr>
              <w:t>When distinction is necessary for discussion purposes, companies may use the term a logical AI/ML model to refer to a model that is identified and assigned a model ID, and physical AI/ML model(s) to refer to an actual implementation of such a model.</w:t>
            </w:r>
          </w:p>
        </w:tc>
      </w:tr>
    </w:tbl>
    <w:p>
      <w:pPr>
        <w:snapToGrid w:val="0"/>
        <w:spacing w:before="72" w:beforeLines="30" w:after="72" w:afterLines="30" w:line="288" w:lineRule="auto"/>
        <w:rPr>
          <w:rFonts w:eastAsia="微软雅黑"/>
        </w:rPr>
      </w:pPr>
      <w:r>
        <w:rPr>
          <w:rFonts w:hint="eastAsia" w:eastAsia="微软雅黑"/>
        </w:rPr>
        <w:t>According to the agreement in RAN1#112bis-e, there are still some ambiguities on the relationship between functionality-based LCM and model-ID-based LCM. First of all, it</w:t>
      </w:r>
      <w:r>
        <w:rPr>
          <w:rFonts w:eastAsia="微软雅黑"/>
        </w:rPr>
        <w:t>’</w:t>
      </w:r>
      <w:r>
        <w:rPr>
          <w:rFonts w:hint="eastAsia" w:eastAsia="微软雅黑"/>
        </w:rPr>
        <w:t>s not expected to define totally different LCM frameworks for functionality-based LCM and model-ID-based LCM. To our understanding, the major differences contribute to the UE capability report, functionality/model report</w:t>
      </w:r>
      <w:r>
        <w:rPr>
          <w:rFonts w:hint="eastAsia" w:eastAsia="微软雅黑"/>
          <w:lang w:val="en-US" w:eastAsia="zh-CN"/>
        </w:rPr>
        <w:t>,</w:t>
      </w:r>
      <w:r>
        <w:rPr>
          <w:rFonts w:hint="eastAsia" w:eastAsia="微软雅黑"/>
        </w:rPr>
        <w:t xml:space="preserve"> and model transfer. However, after that, the operations (e.g., measurement report, performance monitoring, activation/deactivation, selection, or switching) on a functionality or a model should strive to use a unified signaling framework. To be mentioned, whatever we call it functionality, model or just conditions, it</w:t>
      </w:r>
      <w:r>
        <w:rPr>
          <w:rFonts w:eastAsia="微软雅黑"/>
        </w:rPr>
        <w:t>’</w:t>
      </w:r>
      <w:r>
        <w:rPr>
          <w:rFonts w:hint="eastAsia" w:eastAsia="微软雅黑"/>
        </w:rPr>
        <w:t>s just a function unit at UE that is not transparent to network. Based on this understanding, we have the following analysis.</w:t>
      </w:r>
    </w:p>
    <w:p>
      <w:pPr>
        <w:snapToGrid w:val="0"/>
        <w:spacing w:before="72" w:beforeLines="30" w:after="72" w:afterLines="30" w:line="288" w:lineRule="auto"/>
        <w:rPr>
          <w:rFonts w:eastAsia="微软雅黑"/>
        </w:rPr>
      </w:pPr>
      <w:r>
        <w:rPr>
          <w:rFonts w:hint="eastAsia" w:eastAsia="微软雅黑"/>
        </w:rPr>
        <w:t>Regarding the UE capability report, the framework should consider various options to be compatible with future extensions to the rapid development of AI/ML technologies. In general, we think the UE capability report for an AI/ML-enabled feature/FG should consider the following aspects:</w:t>
      </w:r>
    </w:p>
    <w:p>
      <w:pPr>
        <w:numPr>
          <w:ilvl w:val="0"/>
          <w:numId w:val="13"/>
        </w:numPr>
        <w:snapToGrid w:val="0"/>
        <w:spacing w:before="72" w:beforeLines="30" w:after="72" w:afterLines="30" w:line="288" w:lineRule="auto"/>
        <w:rPr>
          <w:rFonts w:eastAsia="微软雅黑"/>
        </w:rPr>
      </w:pPr>
      <w:r>
        <w:rPr>
          <w:rFonts w:hint="eastAsia" w:eastAsia="宋体"/>
          <w:color w:val="000000" w:themeColor="text1"/>
          <w14:textFill>
            <w14:solidFill>
              <w14:schemeClr w14:val="tx1"/>
            </w14:solidFill>
          </w14:textFill>
        </w:rPr>
        <w:t>Whether applicable conditions of a functionality is determined during the UE capability report or after the UE capability report;</w:t>
      </w:r>
    </w:p>
    <w:p>
      <w:pPr>
        <w:numPr>
          <w:ilvl w:val="0"/>
          <w:numId w:val="13"/>
        </w:numPr>
        <w:snapToGrid w:val="0"/>
        <w:spacing w:before="72" w:beforeLines="30" w:after="72" w:afterLines="30" w:line="288" w:lineRule="auto"/>
        <w:rPr>
          <w:rFonts w:eastAsia="微软雅黑"/>
        </w:rPr>
      </w:pPr>
      <w:r>
        <w:rPr>
          <w:rFonts w:hint="eastAsia" w:eastAsia="宋体"/>
          <w:color w:val="000000" w:themeColor="text1"/>
          <w14:textFill>
            <w14:solidFill>
              <w14:schemeClr w14:val="tx1"/>
            </w14:solidFill>
          </w14:textFill>
        </w:rPr>
        <w:t>Whether the model can be deployed before or after the UE capability report;</w:t>
      </w:r>
    </w:p>
    <w:p>
      <w:pPr>
        <w:numPr>
          <w:ilvl w:val="0"/>
          <w:numId w:val="13"/>
        </w:numPr>
        <w:snapToGrid w:val="0"/>
        <w:spacing w:before="72" w:beforeLines="30" w:after="72" w:afterLines="30" w:line="288" w:lineRule="auto"/>
        <w:rPr>
          <w:rFonts w:eastAsia="微软雅黑"/>
        </w:rPr>
      </w:pPr>
      <w:r>
        <w:rPr>
          <w:rFonts w:hint="eastAsia" w:eastAsia="宋体"/>
          <w:color w:val="000000" w:themeColor="text1"/>
          <w14:textFill>
            <w14:solidFill>
              <w14:schemeClr w14:val="tx1"/>
            </w14:solidFill>
          </w14:textFill>
        </w:rPr>
        <w:t>Whether functionality/model can be configured by NW</w:t>
      </w:r>
      <w:r>
        <w:rPr>
          <w:rFonts w:eastAsia="宋体"/>
          <w:color w:val="000000" w:themeColor="text1"/>
          <w14:textFill>
            <w14:solidFill>
              <w14:schemeClr w14:val="tx1"/>
            </w14:solidFill>
          </w14:textFill>
        </w:rPr>
        <w:t xml:space="preserve"> </w:t>
      </w:r>
      <w:r>
        <w:rPr>
          <w:rFonts w:hint="eastAsia" w:eastAsia="宋体"/>
          <w:color w:val="000000" w:themeColor="text1"/>
          <w14:textFill>
            <w14:solidFill>
              <w14:schemeClr w14:val="tx1"/>
            </w14:solidFill>
          </w14:textFill>
        </w:rPr>
        <w:t>(i.e., via model transfer) after the UE capability report;</w:t>
      </w:r>
    </w:p>
    <w:p>
      <w:pPr>
        <w:numPr>
          <w:ilvl w:val="0"/>
          <w:numId w:val="13"/>
        </w:numPr>
        <w:snapToGrid w:val="0"/>
        <w:spacing w:before="72" w:beforeLines="30" w:after="72" w:afterLines="30" w:line="288" w:lineRule="auto"/>
        <w:rPr>
          <w:rFonts w:eastAsia="微软雅黑"/>
        </w:rPr>
      </w:pPr>
      <w:r>
        <w:rPr>
          <w:rFonts w:hint="eastAsia" w:eastAsia="微软雅黑"/>
        </w:rPr>
        <w:t>How to report the UE capability for the model that is already identified before.</w:t>
      </w:r>
    </w:p>
    <w:p>
      <w:pPr>
        <w:snapToGrid w:val="0"/>
        <w:spacing w:before="72" w:beforeLines="30" w:after="72" w:afterLines="30" w:line="288" w:lineRule="auto"/>
        <w:rPr>
          <w:rFonts w:eastAsia="微软雅黑"/>
        </w:rPr>
      </w:pPr>
      <w:r>
        <w:rPr>
          <w:rFonts w:hint="eastAsia" w:eastAsia="微软雅黑"/>
        </w:rPr>
        <w:t>Consider the above aspects, we further clarify the differences on UE capability report, functionality/model report and model transfer or different options:</w:t>
      </w:r>
    </w:p>
    <w:p>
      <w:pPr>
        <w:numPr>
          <w:ilvl w:val="0"/>
          <w:numId w:val="13"/>
        </w:numPr>
        <w:snapToGrid w:val="0"/>
        <w:spacing w:before="72" w:beforeLines="30" w:after="72" w:afterLines="30" w:line="288" w:lineRule="auto"/>
        <w:rPr>
          <w:rFonts w:eastAsia="微软雅黑"/>
        </w:rPr>
      </w:pPr>
      <w:r>
        <w:rPr>
          <w:rFonts w:hint="eastAsia" w:eastAsia="宋体"/>
          <w:color w:val="000000" w:themeColor="text1"/>
          <w14:textFill>
            <w14:solidFill>
              <w14:schemeClr w14:val="tx1"/>
            </w14:solidFill>
          </w14:textFill>
        </w:rPr>
        <w:t xml:space="preserve">Option </w:t>
      </w:r>
      <w:r>
        <w:rPr>
          <w:rFonts w:hint="eastAsia" w:eastAsia="微软雅黑"/>
        </w:rPr>
        <w:t>1: UE indicates its supported candidate values for each condition</w:t>
      </w:r>
      <w:r>
        <w:rPr>
          <w:rFonts w:hint="eastAsia" w:eastAsia="微软雅黑"/>
          <w:lang w:val="en-US" w:eastAsia="zh-CN"/>
        </w:rPr>
        <w:t xml:space="preserve"> </w:t>
      </w:r>
      <w:r>
        <w:rPr>
          <w:rFonts w:hint="eastAsia" w:eastAsia="微软雅黑"/>
        </w:rPr>
        <w:t>(or component) of an AI/ML-enabled feature as the legacy UE capability report. After the UE capability report, the functionality can be reported by UE or configured by NW via model transfer:</w:t>
      </w:r>
    </w:p>
    <w:p>
      <w:pPr>
        <w:numPr>
          <w:ilvl w:val="0"/>
          <w:numId w:val="18"/>
        </w:numPr>
        <w:snapToGrid w:val="0"/>
        <w:spacing w:before="72" w:beforeLines="30" w:after="72" w:afterLines="30" w:line="288" w:lineRule="auto"/>
        <w:rPr>
          <w:rFonts w:eastAsia="微软雅黑"/>
        </w:rPr>
      </w:pPr>
      <w:r>
        <w:rPr>
          <w:rFonts w:hint="eastAsia" w:eastAsia="微软雅黑"/>
        </w:rPr>
        <w:t xml:space="preserve">Type 1: UE reports currently supported/deployed functionality and corresponding applicable conditions of the functionality according to the conditions indicated by UE capability. Each applicable condition of the functionality should at least indicate one candidate value. </w:t>
      </w:r>
    </w:p>
    <w:p>
      <w:pPr>
        <w:numPr>
          <w:ilvl w:val="0"/>
          <w:numId w:val="18"/>
        </w:numPr>
        <w:snapToGrid w:val="0"/>
        <w:spacing w:before="72" w:beforeLines="30" w:after="72" w:afterLines="30" w:line="288" w:lineRule="auto"/>
        <w:rPr>
          <w:rFonts w:eastAsia="微软雅黑"/>
        </w:rPr>
      </w:pPr>
      <w:r>
        <w:rPr>
          <w:rFonts w:hint="eastAsia" w:eastAsia="微软雅黑"/>
        </w:rPr>
        <w:t>Type 2: NW configures a functionality and corresponding applicable conditions to UE according to the conditions indicated by UE capability. Each applicable condition of the functionality should at least indicate one candidate value. Meanwhile, a model is transferred from NW to UE for the configured functionality. For Type 2, UE may need to support additional capabilities (e.g., the supported model description format and the supported model structure for the model transfer).</w:t>
      </w:r>
    </w:p>
    <w:p>
      <w:pPr>
        <w:snapToGrid w:val="0"/>
        <w:spacing w:before="72" w:beforeLines="30" w:after="72" w:afterLines="30" w:line="288" w:lineRule="auto"/>
        <w:jc w:val="center"/>
      </w:pPr>
      <w:r>
        <w:drawing>
          <wp:inline distT="0" distB="0" distL="114300" distR="114300">
            <wp:extent cx="4959985" cy="2339975"/>
            <wp:effectExtent l="0" t="0" r="0" b="698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4959985" cy="2339975"/>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rPr>
        <w:t>Fig.2 Option 1:</w:t>
      </w:r>
      <w:r>
        <w:rPr>
          <w:rFonts w:eastAsia="宋体"/>
        </w:rPr>
        <w:t xml:space="preserve"> </w:t>
      </w:r>
      <w:r>
        <w:rPr>
          <w:rFonts w:hint="eastAsia" w:eastAsia="微软雅黑"/>
        </w:rPr>
        <w:t>UE indicates its supported candidate values for the conditions</w:t>
      </w:r>
    </w:p>
    <w:p>
      <w:pPr>
        <w:numPr>
          <w:ilvl w:val="0"/>
          <w:numId w:val="13"/>
        </w:numPr>
        <w:snapToGrid w:val="0"/>
        <w:spacing w:before="72" w:beforeLines="30" w:after="72" w:afterLines="30" w:line="288" w:lineRule="auto"/>
        <w:rPr>
          <w:rFonts w:eastAsia="微软雅黑"/>
        </w:rPr>
      </w:pPr>
      <w:r>
        <w:rPr>
          <w:rFonts w:hint="eastAsia" w:eastAsia="宋体"/>
          <w:color w:val="000000" w:themeColor="text1"/>
          <w14:textFill>
            <w14:solidFill>
              <w14:schemeClr w14:val="tx1"/>
            </w14:solidFill>
          </w14:textFill>
        </w:rPr>
        <w:t xml:space="preserve">Option </w:t>
      </w:r>
      <w:r>
        <w:rPr>
          <w:rFonts w:hint="eastAsia" w:eastAsia="微软雅黑"/>
        </w:rPr>
        <w:t>2: UE indicates its supported functionality of an AI/ML-enabled feature in a UE capability report, where the applicable conditions of a functionality are indicated by a combination of the conditions. The UE capability report may include two types of functionality:</w:t>
      </w:r>
    </w:p>
    <w:p>
      <w:pPr>
        <w:numPr>
          <w:ilvl w:val="0"/>
          <w:numId w:val="18"/>
        </w:numPr>
        <w:snapToGrid w:val="0"/>
        <w:spacing w:before="72" w:beforeLines="30" w:after="72" w:afterLines="30" w:line="288" w:lineRule="auto"/>
        <w:rPr>
          <w:rFonts w:eastAsia="微软雅黑"/>
        </w:rPr>
      </w:pPr>
      <w:r>
        <w:rPr>
          <w:rFonts w:hint="eastAsia" w:eastAsia="微软雅黑"/>
        </w:rPr>
        <w:t xml:space="preserve">Type 1: UE has already deployed corresponding model of the functionality indicated in the UE capability. With the functionality report, the functionality can be used/activated immediately after the UE capability. </w:t>
      </w:r>
    </w:p>
    <w:p>
      <w:pPr>
        <w:numPr>
          <w:ilvl w:val="0"/>
          <w:numId w:val="18"/>
        </w:numPr>
        <w:snapToGrid w:val="0"/>
        <w:spacing w:before="72" w:beforeLines="30" w:after="72" w:afterLines="30" w:line="288" w:lineRule="auto"/>
        <w:rPr>
          <w:rFonts w:eastAsia="微软雅黑"/>
        </w:rPr>
      </w:pPr>
      <w:r>
        <w:rPr>
          <w:rFonts w:hint="eastAsia" w:eastAsia="微软雅黑"/>
        </w:rPr>
        <w:t>Type 2: The corresponding model of the functionality indicated in the UE capability can be deployed after the UE capability report. For example, the model is downloaded from a private server. UE may inform the NW that the functionality is available after the download. Another example, NW may transfer a model whose applicable conditions are the same as the conditions of the functionality indicated in the UE capability report.</w:t>
      </w:r>
    </w:p>
    <w:p>
      <w:pPr>
        <w:snapToGrid w:val="0"/>
        <w:spacing w:before="72" w:beforeLines="30" w:after="72" w:afterLines="30" w:line="288" w:lineRule="auto"/>
        <w:ind w:left="420"/>
        <w:jc w:val="center"/>
        <w:rPr>
          <w:rFonts w:eastAsia="微软雅黑"/>
        </w:rPr>
      </w:pPr>
      <w:r>
        <w:drawing>
          <wp:inline distT="0" distB="0" distL="114300" distR="114300">
            <wp:extent cx="4438650" cy="2160270"/>
            <wp:effectExtent l="0" t="0" r="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4438650" cy="216027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rPr>
        <w:t xml:space="preserve">Fig.3 Option 2: </w:t>
      </w:r>
      <w:r>
        <w:rPr>
          <w:rFonts w:hint="eastAsia" w:eastAsia="微软雅黑"/>
        </w:rPr>
        <w:t xml:space="preserve">UE indicates supported condition combination for a functionality </w:t>
      </w:r>
    </w:p>
    <w:p>
      <w:pPr>
        <w:numPr>
          <w:ilvl w:val="0"/>
          <w:numId w:val="13"/>
        </w:numPr>
        <w:snapToGrid w:val="0"/>
        <w:spacing w:before="72" w:beforeLines="30" w:after="72" w:afterLines="30" w:line="288" w:lineRule="auto"/>
        <w:rPr>
          <w:rFonts w:eastAsia="微软雅黑"/>
        </w:rPr>
      </w:pPr>
      <w:r>
        <w:rPr>
          <w:rFonts w:hint="eastAsia" w:eastAsia="宋体"/>
          <w:color w:val="000000" w:themeColor="text1"/>
          <w14:textFill>
            <w14:solidFill>
              <w14:schemeClr w14:val="tx1"/>
            </w14:solidFill>
          </w14:textFill>
        </w:rPr>
        <w:t xml:space="preserve">Option </w:t>
      </w:r>
      <w:r>
        <w:rPr>
          <w:rFonts w:hint="eastAsia" w:eastAsia="微软雅黑"/>
        </w:rPr>
        <w:t>3: UE indicates its supported model IDs</w:t>
      </w:r>
      <w:r>
        <w:rPr>
          <w:rFonts w:eastAsia="微软雅黑"/>
        </w:rPr>
        <w:t xml:space="preserve"> </w:t>
      </w:r>
      <w:r>
        <w:rPr>
          <w:rFonts w:hint="eastAsia" w:eastAsia="微软雅黑"/>
        </w:rPr>
        <w:t xml:space="preserve">(e.g., global </w:t>
      </w:r>
      <w:r>
        <w:rPr>
          <w:rFonts w:eastAsia="微软雅黑"/>
        </w:rPr>
        <w:t>‘</w:t>
      </w:r>
      <w:r>
        <w:rPr>
          <w:rFonts w:hint="eastAsia" w:eastAsia="微软雅黑"/>
        </w:rPr>
        <w:t>unique</w:t>
      </w:r>
      <w:r>
        <w:rPr>
          <w:rFonts w:eastAsia="微软雅黑"/>
        </w:rPr>
        <w:t>’</w:t>
      </w:r>
      <w:r>
        <w:rPr>
          <w:rFonts w:hint="eastAsia" w:eastAsia="微软雅黑"/>
        </w:rPr>
        <w:t xml:space="preserve"> model IDs) of an AI/ML-enabled feature in a UE capability report. The model associated with the model ID is already identified before so that UE and NW h</w:t>
      </w:r>
      <w:r>
        <w:rPr>
          <w:rFonts w:eastAsia="微软雅黑"/>
        </w:rPr>
        <w:t>ave</w:t>
      </w:r>
      <w:r>
        <w:rPr>
          <w:rFonts w:hint="eastAsia" w:eastAsia="微软雅黑"/>
        </w:rPr>
        <w:t xml:space="preserve"> the common understanding on the model in advance. Therefore, UE is not required to indicate the model description information</w:t>
      </w:r>
      <w:r>
        <w:rPr>
          <w:rFonts w:eastAsia="微软雅黑"/>
        </w:rPr>
        <w:t xml:space="preserve"> </w:t>
      </w:r>
      <w:r>
        <w:rPr>
          <w:rFonts w:hint="eastAsia" w:eastAsia="微软雅黑"/>
        </w:rPr>
        <w:t>(e.g., applicable conditions of the model) in the UE capability report. The UE capability report may include two types of model:</w:t>
      </w:r>
    </w:p>
    <w:p>
      <w:pPr>
        <w:numPr>
          <w:ilvl w:val="0"/>
          <w:numId w:val="18"/>
        </w:numPr>
        <w:snapToGrid w:val="0"/>
        <w:spacing w:before="72" w:beforeLines="30" w:after="72" w:afterLines="30" w:line="288" w:lineRule="auto"/>
        <w:rPr>
          <w:rFonts w:eastAsia="微软雅黑"/>
        </w:rPr>
      </w:pPr>
      <w:r>
        <w:rPr>
          <w:rFonts w:hint="eastAsia" w:eastAsia="微软雅黑"/>
        </w:rPr>
        <w:t xml:space="preserve">Type 1: UE has already deployed corresponding model of the model ID indicated in the UE capability. The model can be used/activated immediately after the UE capability report. </w:t>
      </w:r>
    </w:p>
    <w:p>
      <w:pPr>
        <w:numPr>
          <w:ilvl w:val="0"/>
          <w:numId w:val="18"/>
        </w:numPr>
        <w:snapToGrid w:val="0"/>
        <w:spacing w:before="72" w:beforeLines="30" w:after="72" w:afterLines="30" w:line="288" w:lineRule="auto"/>
        <w:rPr>
          <w:rFonts w:eastAsia="微软雅黑"/>
        </w:rPr>
      </w:pPr>
      <w:r>
        <w:rPr>
          <w:rFonts w:hint="eastAsia" w:eastAsia="微软雅黑"/>
        </w:rPr>
        <w:t>Type 2: The corresponding model of the model ID indicated in the UE capability can be deployed after the UE capability report. For example, the model is downloaded from a private server. UE may inform the NW that the model is available after the download. Another example, NW may transfer a model according to the model ID indicated in the UE capability report.</w:t>
      </w:r>
    </w:p>
    <w:p>
      <w:pPr>
        <w:snapToGrid w:val="0"/>
        <w:spacing w:before="72" w:beforeLines="30" w:after="72" w:afterLines="30" w:line="288" w:lineRule="auto"/>
        <w:jc w:val="center"/>
        <w:rPr>
          <w:rFonts w:eastAsia="微软雅黑"/>
        </w:rPr>
      </w:pPr>
      <w:r>
        <w:drawing>
          <wp:inline distT="0" distB="0" distL="114300" distR="114300">
            <wp:extent cx="4455795" cy="2160270"/>
            <wp:effectExtent l="0" t="0" r="0" b="381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2"/>
                    <a:stretch>
                      <a:fillRect/>
                    </a:stretch>
                  </pic:blipFill>
                  <pic:spPr>
                    <a:xfrm>
                      <a:off x="0" y="0"/>
                      <a:ext cx="4455795" cy="216027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rPr>
      </w:pPr>
      <w:r>
        <w:rPr>
          <w:rFonts w:hint="eastAsia" w:eastAsia="宋体"/>
        </w:rPr>
        <w:t xml:space="preserve">Fig.4 Option </w:t>
      </w:r>
      <w:r>
        <w:rPr>
          <w:rFonts w:eastAsia="宋体"/>
        </w:rPr>
        <w:t>3</w:t>
      </w:r>
      <w:r>
        <w:rPr>
          <w:rFonts w:hint="eastAsia" w:eastAsia="宋体"/>
        </w:rPr>
        <w:t xml:space="preserve">: </w:t>
      </w:r>
      <w:r>
        <w:rPr>
          <w:rFonts w:hint="eastAsia" w:eastAsia="微软雅黑"/>
        </w:rPr>
        <w:t xml:space="preserve">UE indicates its supported model IDs of an AI/ML-enabled feature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widowControl/>
              <w:spacing w:before="72" w:beforeLines="30" w:after="72" w:afterLines="30" w:line="288" w:lineRule="auto"/>
              <w:outlineLvl w:val="5"/>
              <w:rPr>
                <w:rFonts w:ascii="Times New Roman" w:hAnsi="Times New Roman" w:cs="Times New Roman"/>
                <w:color w:val="000000" w:themeColor="text1"/>
                <w:kern w:val="0"/>
                <w:sz w:val="20"/>
                <w:szCs w:val="20"/>
                <w:u w:val="single"/>
                <w14:textFill>
                  <w14:solidFill>
                    <w14:schemeClr w14:val="tx1"/>
                  </w14:solidFill>
                </w14:textFill>
              </w:rPr>
            </w:pPr>
            <w:r>
              <w:rPr>
                <w:rFonts w:ascii="Times New Roman" w:hAnsi="Times New Roman" w:cs="Times New Roman"/>
                <w:sz w:val="20"/>
                <w:szCs w:val="20"/>
                <w:u w:val="single"/>
              </w:rPr>
              <w:t>[</w:t>
            </w:r>
            <w:r>
              <w:rPr>
                <w:rFonts w:ascii="Times New Roman" w:hAnsi="Times New Roman" w:cs="Times New Roman"/>
                <w:color w:val="000000" w:themeColor="text1"/>
                <w:sz w:val="20"/>
                <w:szCs w:val="20"/>
                <w:u w:val="single"/>
                <w14:textFill>
                  <w14:solidFill>
                    <w14:schemeClr w14:val="tx1"/>
                  </w14:solidFill>
                </w14:textFill>
              </w:rPr>
              <w:t>FL6] Proposal 6-10e:</w:t>
            </w:r>
          </w:p>
          <w:p>
            <w:pPr>
              <w:widowControl/>
              <w:spacing w:before="72" w:beforeLines="30" w:after="72" w:afterLines="30" w:line="288" w:lineRule="auto"/>
              <w:rPr>
                <w:color w:val="000000" w:themeColor="text1"/>
                <w14:textFill>
                  <w14:solidFill>
                    <w14:schemeClr w14:val="tx1"/>
                  </w14:solidFill>
                </w14:textFill>
              </w:rPr>
            </w:pPr>
            <w:r>
              <w:rPr>
                <w:color w:val="000000" w:themeColor="text1"/>
                <w14:textFill>
                  <w14:solidFill>
                    <w14:schemeClr w14:val="tx1"/>
                  </w14:solidFill>
                </w14:textFill>
              </w:rPr>
              <w:t>It is clarified that an index for a model may be created/used for model control purposes after model identification.</w:t>
            </w:r>
          </w:p>
          <w:p>
            <w:pPr>
              <w:pStyle w:val="53"/>
              <w:widowControl/>
              <w:numPr>
                <w:ilvl w:val="0"/>
                <w:numId w:val="22"/>
              </w:numPr>
              <w:spacing w:before="72" w:beforeLines="30" w:beforeAutospacing="0" w:after="72" w:afterLines="30" w:afterAutospacing="0" w:line="288" w:lineRule="auto"/>
              <w:ind w:left="1240" w:leftChars="0"/>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For example, an </w:t>
            </w:r>
            <w:r>
              <w:rPr>
                <w:rFonts w:hint="eastAsia" w:ascii="Times New Roman" w:hAnsi="Times New Roman" w:eastAsia="宋体"/>
                <w:color w:val="000000" w:themeColor="text1"/>
                <w14:textFill>
                  <w14:solidFill>
                    <w14:schemeClr w14:val="tx1"/>
                  </w14:solidFill>
                </w14:textFill>
              </w:rPr>
              <w:t>i</w:t>
            </w:r>
            <w:r>
              <w:rPr>
                <w:rFonts w:ascii="Times New Roman" w:hAnsi="Times New Roman"/>
                <w:color w:val="000000" w:themeColor="text1"/>
                <w14:textFill>
                  <w14:solidFill>
                    <w14:schemeClr w14:val="tx1"/>
                  </w14:solidFill>
                </w14:textFill>
              </w:rPr>
              <w:t>ndex may be temporarily allocated for an identified model between NW and UE and utilized for various LCM signaling purposes such as activation/deactivation/selection/switching.</w:t>
            </w:r>
          </w:p>
          <w:p>
            <w:pPr>
              <w:widowControl w:val="0"/>
              <w:snapToGrid w:val="0"/>
              <w:spacing w:before="72" w:beforeLines="30" w:after="72" w:afterLines="30" w:line="288" w:lineRule="auto"/>
              <w:rPr>
                <w:rFonts w:eastAsia="宋体"/>
              </w:rPr>
            </w:pPr>
          </w:p>
          <w:p>
            <w:pPr>
              <w:keepNext/>
              <w:keepLines/>
              <w:widowControl w:val="0"/>
              <w:overflowPunct w:val="0"/>
              <w:autoSpaceDE w:val="0"/>
              <w:autoSpaceDN w:val="0"/>
              <w:adjustRightInd w:val="0"/>
              <w:spacing w:before="72" w:beforeLines="30" w:after="72" w:afterLines="30" w:line="288" w:lineRule="auto"/>
              <w:ind w:left="1152" w:hanging="1152"/>
              <w:textAlignment w:val="baseline"/>
              <w:outlineLvl w:val="5"/>
              <w:rPr>
                <w:b/>
                <w:bCs/>
                <w:color w:val="000000" w:themeColor="text1"/>
                <w:u w:val="single"/>
                <w14:textFill>
                  <w14:solidFill>
                    <w14:schemeClr w14:val="tx1"/>
                  </w14:solidFill>
                </w14:textFill>
              </w:rPr>
            </w:pPr>
            <w:r>
              <w:rPr>
                <w:b/>
                <w:bCs/>
                <w:color w:val="000000" w:themeColor="text1"/>
                <w:u w:val="single"/>
                <w14:textFill>
                  <w14:solidFill>
                    <w14:schemeClr w14:val="tx1"/>
                  </w14:solidFill>
                </w14:textFill>
              </w:rPr>
              <w:t>[FL6] Proposal 6-13f:</w:t>
            </w:r>
          </w:p>
          <w:p>
            <w:pPr>
              <w:widowControl/>
              <w:spacing w:before="72" w:beforeLines="30" w:after="72" w:afterLines="30" w:line="288" w:lineRule="auto"/>
              <w:rPr>
                <w:strike/>
                <w:color w:val="000000" w:themeColor="text1"/>
                <w14:textFill>
                  <w14:solidFill>
                    <w14:schemeClr w14:val="tx1"/>
                  </w14:solidFill>
                </w14:textFill>
              </w:rPr>
            </w:pPr>
            <w:r>
              <w:rPr>
                <w:color w:val="000000" w:themeColor="text1"/>
                <w14:textFill>
                  <w14:solidFill>
                    <w14:schemeClr w14:val="tx1"/>
                  </w14:solidFill>
                </w14:textFill>
              </w:rPr>
              <w:t>A logical ID may be used to indicate compatibility between UE-part and NW- part of a two-sided model</w:t>
            </w:r>
          </w:p>
          <w:p>
            <w:pPr>
              <w:widowControl/>
              <w:numPr>
                <w:ilvl w:val="0"/>
                <w:numId w:val="23"/>
              </w:numPr>
              <w:spacing w:before="72" w:beforeLines="30" w:after="72" w:afterLines="30" w:line="288" w:lineRule="auto"/>
              <w:jc w:val="left"/>
              <w:rPr>
                <w:color w:val="000000" w:themeColor="text1"/>
                <w14:textFill>
                  <w14:solidFill>
                    <w14:schemeClr w14:val="tx1"/>
                  </w14:solidFill>
                </w14:textFill>
              </w:rPr>
            </w:pPr>
            <w:r>
              <w:rPr>
                <w:color w:val="000000" w:themeColor="text1"/>
                <w14:textFill>
                  <w14:solidFill>
                    <w14:schemeClr w14:val="tx1"/>
                  </w14:solidFill>
                </w14:textFill>
              </w:rPr>
              <w:t>FFS: The logical ID may serve as a model ID in model-ID-based LCM.</w:t>
            </w:r>
          </w:p>
          <w:p>
            <w:pPr>
              <w:widowControl w:val="0"/>
              <w:snapToGrid w:val="0"/>
              <w:spacing w:before="72" w:beforeLines="30" w:after="72" w:afterLines="30" w:line="288" w:lineRule="auto"/>
              <w:rPr>
                <w:rFonts w:eastAsia="宋体"/>
              </w:rPr>
            </w:pPr>
            <w:r>
              <w:rPr>
                <w:color w:val="000000" w:themeColor="text1"/>
                <w14:textFill>
                  <w14:solidFill>
                    <w14:schemeClr w14:val="tx1"/>
                  </w14:solidFill>
                </w14:textFill>
              </w:rPr>
              <w:t>FFS: Applicability to functionality-based LCM</w:t>
            </w:r>
          </w:p>
        </w:tc>
      </w:tr>
    </w:tbl>
    <w:p>
      <w:pPr>
        <w:snapToGrid w:val="0"/>
        <w:spacing w:before="72" w:beforeLines="30" w:after="72" w:afterLines="30" w:line="288" w:lineRule="auto"/>
        <w:rPr>
          <w:rFonts w:eastAsia="宋体"/>
        </w:rPr>
      </w:pPr>
      <w:r>
        <w:rPr>
          <w:rFonts w:hint="eastAsia" w:eastAsia="宋体"/>
        </w:rPr>
        <w:t xml:space="preserve">As discussed above, the model identification is a naming process to uniquely identify a model with a global ID. In RAN1#112bis-e, there was a discussion that a local index may be temporarily allocated for an identified model between NW and UE and utilized for various LCM signaling purposes such as activation/deactivation/selection/switching. To our understanding, either the functionality </w:t>
      </w:r>
      <w:r>
        <w:rPr>
          <w:rFonts w:hint="eastAsia" w:eastAsia="宋体"/>
          <w:lang w:val="en-US" w:eastAsia="zh-CN"/>
        </w:rPr>
        <w:t xml:space="preserve">or </w:t>
      </w:r>
      <w:r>
        <w:rPr>
          <w:rFonts w:hint="eastAsia" w:eastAsia="宋体"/>
        </w:rPr>
        <w:t>an identified model should be allocated with a local i</w:t>
      </w:r>
      <w:r>
        <w:rPr>
          <w:rFonts w:hint="eastAsia" w:eastAsia="宋体"/>
          <w:lang w:val="en-US" w:eastAsia="zh-CN"/>
        </w:rPr>
        <w:t>dentifier</w:t>
      </w:r>
      <w:r>
        <w:rPr>
          <w:rFonts w:hint="eastAsia" w:eastAsia="宋体"/>
        </w:rPr>
        <w:t>. However, the local identifier doesn</w:t>
      </w:r>
      <w:r>
        <w:rPr>
          <w:rFonts w:eastAsia="宋体"/>
        </w:rPr>
        <w:t>’</w:t>
      </w:r>
      <w:r>
        <w:rPr>
          <w:rFonts w:hint="eastAsia" w:eastAsia="宋体"/>
        </w:rPr>
        <w:t>t need to differentiate whether it</w:t>
      </w:r>
      <w:r>
        <w:rPr>
          <w:rFonts w:eastAsia="宋体"/>
        </w:rPr>
        <w:t>’</w:t>
      </w:r>
      <w:r>
        <w:rPr>
          <w:rFonts w:hint="eastAsia" w:eastAsia="宋体"/>
        </w:rPr>
        <w:t xml:space="preserve">s associated with a model or a functionality. From network perspective, the local identifier is just a function unit operated at UE that is not transparent to network, which can facilitate the follow-up indication on various operations. </w:t>
      </w:r>
    </w:p>
    <w:p>
      <w:pPr>
        <w:snapToGrid w:val="0"/>
        <w:spacing w:before="72" w:beforeLines="30" w:after="72" w:afterLines="30" w:line="288" w:lineRule="auto"/>
        <w:rPr>
          <w:rFonts w:eastAsia="宋体"/>
        </w:rPr>
      </w:pPr>
      <w:r>
        <w:rPr>
          <w:rFonts w:hint="eastAsia" w:eastAsia="宋体"/>
        </w:rPr>
        <w:t>Therefore, after the UE capability report, functionality/model report and model transfer, NW should assign a local identifier to the function unit for performing LCM procedures. The identifier for the functionality/model is a local index, which can be unique within a RRC configuration. As shown in Fig</w:t>
      </w:r>
      <w:r>
        <w:rPr>
          <w:rFonts w:hint="eastAsia" w:eastAsia="宋体"/>
          <w:lang w:val="en-US" w:eastAsia="zh-CN"/>
        </w:rPr>
        <w:t>s</w:t>
      </w:r>
      <w:r>
        <w:rPr>
          <w:rFonts w:hint="eastAsia" w:eastAsia="宋体"/>
        </w:rPr>
        <w:t>.</w:t>
      </w:r>
      <w:r>
        <w:rPr>
          <w:rFonts w:hint="eastAsia" w:eastAsia="宋体"/>
          <w:lang w:val="en-US" w:eastAsia="zh-CN"/>
        </w:rPr>
        <w:t xml:space="preserve"> </w:t>
      </w:r>
      <w:r>
        <w:rPr>
          <w:rFonts w:hint="eastAsia" w:eastAsia="宋体"/>
        </w:rPr>
        <w:t>2</w:t>
      </w:r>
      <w:r>
        <w:rPr>
          <w:rFonts w:hint="eastAsia" w:eastAsia="宋体"/>
          <w:lang w:val="en-US" w:eastAsia="zh-CN"/>
        </w:rPr>
        <w:t xml:space="preserve">, 3, and </w:t>
      </w:r>
      <w:r>
        <w:rPr>
          <w:rFonts w:hint="eastAsia" w:eastAsia="宋体"/>
        </w:rPr>
        <w:t>4, the local identifier can be either associated with the conditions, functionality or the global model ID of a model. From network perspective, the local identifier is a function unit operated at UE that is not transparent network. After the identifier assignment, the three options discussed above will have a unified solution. That is, network/UE will use the local identifier for the further LCM indications, which may include ID-based measurement report, performance monitoring, activation/deactivation, selection or switching.</w:t>
      </w:r>
    </w:p>
    <w:p>
      <w:pPr>
        <w:pStyle w:val="25"/>
        <w:spacing w:before="72" w:after="72"/>
        <w:rPr>
          <w:lang w:val="en-US" w:eastAsia="zh-CN"/>
        </w:rPr>
      </w:pPr>
      <w:bookmarkStart w:id="78" w:name="_Toc6663"/>
      <w:bookmarkStart w:id="79" w:name="_Toc1697"/>
      <w:r>
        <w:rPr>
          <w:rFonts w:hint="eastAsia"/>
          <w:lang w:val="en-US" w:eastAsia="zh-CN"/>
        </w:rPr>
        <w:t>The major differences between functionality-based LCM and model-ID-based LCM contribute to the UE capability report, functionality/model report, and model transfer. However, after that, the operations on a functionality or a model (e.g., measurement report, performance monitoring, activation/deactivation, selection, or switching) can use a unified signaling framework.</w:t>
      </w:r>
      <w:bookmarkEnd w:id="78"/>
      <w:bookmarkEnd w:id="79"/>
    </w:p>
    <w:p>
      <w:pPr>
        <w:pStyle w:val="23"/>
        <w:spacing w:before="72" w:after="72"/>
        <w:rPr>
          <w:lang w:val="en-US"/>
        </w:rPr>
      </w:pPr>
      <w:bookmarkStart w:id="80" w:name="_Toc6564"/>
      <w:bookmarkStart w:id="81" w:name="_Toc32366"/>
      <w:r>
        <w:rPr>
          <w:rFonts w:hint="eastAsia"/>
          <w:lang w:val="en-US"/>
        </w:rPr>
        <w:t>The signaling framework for UE functionality/model alignment should consider various options to be compatible with future extensions to the rapid development of AI/ML technologies</w:t>
      </w:r>
      <w:bookmarkEnd w:id="80"/>
      <w:r>
        <w:rPr>
          <w:rFonts w:hint="eastAsia"/>
          <w:lang w:val="en-US"/>
        </w:rPr>
        <w:t>.</w:t>
      </w:r>
      <w:bookmarkEnd w:id="81"/>
    </w:p>
    <w:p>
      <w:pPr>
        <w:pStyle w:val="23"/>
        <w:spacing w:before="72" w:after="72"/>
        <w:rPr>
          <w:lang w:val="en-US"/>
        </w:rPr>
      </w:pPr>
      <w:bookmarkStart w:id="82" w:name="_Toc15173"/>
      <w:bookmarkStart w:id="83" w:name="_Toc28526"/>
      <w:bookmarkStart w:id="84" w:name="_Toc20673"/>
      <w:r>
        <w:rPr>
          <w:rFonts w:hint="eastAsia"/>
          <w:lang w:val="en-US"/>
        </w:rPr>
        <w:t>Further study the UE capability report for an AI/ML-enabled feature, including the following aspects:</w:t>
      </w:r>
      <w:bookmarkEnd w:id="82"/>
      <w:bookmarkEnd w:id="83"/>
      <w:bookmarkEnd w:id="84"/>
    </w:p>
    <w:p>
      <w:pPr>
        <w:pStyle w:val="26"/>
        <w:spacing w:before="72" w:after="72"/>
        <w:rPr>
          <w:rFonts w:eastAsia="宋体"/>
          <w:kern w:val="0"/>
        </w:rPr>
      </w:pPr>
      <w:bookmarkStart w:id="85" w:name="_Toc30741"/>
      <w:bookmarkStart w:id="86" w:name="_Toc30290"/>
      <w:bookmarkStart w:id="87" w:name="_Toc11575"/>
      <w:r>
        <w:rPr>
          <w:rFonts w:eastAsia="宋体"/>
          <w:kern w:val="0"/>
        </w:rPr>
        <w:t>Whether applicable conditions of a functionality is determined during the UE capability report or after the UE capability report;</w:t>
      </w:r>
      <w:bookmarkEnd w:id="85"/>
    </w:p>
    <w:p>
      <w:pPr>
        <w:pStyle w:val="26"/>
        <w:spacing w:before="72" w:after="72"/>
        <w:rPr>
          <w:rFonts w:eastAsia="宋体"/>
          <w:kern w:val="0"/>
        </w:rPr>
      </w:pPr>
      <w:bookmarkStart w:id="88" w:name="_Toc5982"/>
      <w:r>
        <w:rPr>
          <w:rFonts w:eastAsia="宋体"/>
          <w:kern w:val="0"/>
        </w:rPr>
        <w:t>Whether the model can be deployed before or after the UE capability report;</w:t>
      </w:r>
      <w:bookmarkEnd w:id="88"/>
    </w:p>
    <w:p>
      <w:pPr>
        <w:pStyle w:val="26"/>
        <w:spacing w:before="72" w:after="72"/>
        <w:rPr>
          <w:rFonts w:eastAsia="宋体"/>
          <w:kern w:val="0"/>
        </w:rPr>
      </w:pPr>
      <w:bookmarkStart w:id="89" w:name="_Toc26931"/>
      <w:r>
        <w:rPr>
          <w:rFonts w:eastAsia="宋体"/>
          <w:kern w:val="0"/>
        </w:rPr>
        <w:t>Whether functionality/model can be configured by NW(i.e., via model transfer) after the UE capability report;</w:t>
      </w:r>
      <w:bookmarkEnd w:id="89"/>
    </w:p>
    <w:p>
      <w:pPr>
        <w:pStyle w:val="26"/>
        <w:spacing w:before="72" w:after="72"/>
        <w:rPr>
          <w:rFonts w:eastAsia="宋体"/>
          <w:kern w:val="0"/>
        </w:rPr>
      </w:pPr>
      <w:bookmarkStart w:id="90" w:name="_Toc4693"/>
      <w:r>
        <w:rPr>
          <w:rFonts w:eastAsia="宋体"/>
          <w:b/>
          <w:bCs/>
          <w:i/>
          <w:iCs/>
          <w:kern w:val="0"/>
        </w:rPr>
        <w:t>How to report the UE capability for the model that is already identified before.</w:t>
      </w:r>
      <w:bookmarkEnd w:id="86"/>
      <w:bookmarkEnd w:id="87"/>
      <w:bookmarkEnd w:id="90"/>
    </w:p>
    <w:p>
      <w:pPr>
        <w:pStyle w:val="23"/>
        <w:spacing w:before="72" w:after="72"/>
        <w:rPr>
          <w:lang w:val="en-US"/>
        </w:rPr>
      </w:pPr>
      <w:bookmarkStart w:id="91" w:name="_Toc29179"/>
      <w:bookmarkStart w:id="92" w:name="_Toc3822"/>
      <w:bookmarkStart w:id="93" w:name="_Toc28792"/>
      <w:r>
        <w:rPr>
          <w:rFonts w:hint="eastAsia"/>
          <w:lang w:val="en-US"/>
        </w:rPr>
        <w:t>Further study the solutions to report UE capability for an AI/ML-enabled feature, at least including the following options:</w:t>
      </w:r>
      <w:bookmarkEnd w:id="91"/>
      <w:bookmarkEnd w:id="92"/>
      <w:bookmarkEnd w:id="93"/>
    </w:p>
    <w:p>
      <w:pPr>
        <w:pStyle w:val="26"/>
        <w:spacing w:before="72" w:after="72"/>
      </w:pPr>
      <w:bookmarkStart w:id="94" w:name="_Toc23827"/>
      <w:bookmarkStart w:id="95" w:name="_Toc3932"/>
      <w:bookmarkStart w:id="96" w:name="_Toc6333"/>
      <w:r>
        <w:rPr>
          <w:rFonts w:hint="eastAsia"/>
        </w:rPr>
        <w:t>Option 1: UE indicates its supported candidate values for each condition</w:t>
      </w:r>
      <w:r>
        <w:rPr>
          <w:rFonts w:hint="eastAsia"/>
          <w:lang w:val="en-US" w:eastAsia="zh-CN"/>
        </w:rPr>
        <w:t xml:space="preserve"> </w:t>
      </w:r>
      <w:r>
        <w:rPr>
          <w:rFonts w:hint="eastAsia"/>
        </w:rPr>
        <w:t>(or component) of an AI/ML-enabled feature as the legacy UE capability report.</w:t>
      </w:r>
      <w:bookmarkEnd w:id="94"/>
      <w:bookmarkEnd w:id="95"/>
      <w:bookmarkEnd w:id="96"/>
    </w:p>
    <w:p>
      <w:pPr>
        <w:pStyle w:val="26"/>
        <w:spacing w:before="72" w:after="72"/>
      </w:pPr>
      <w:bookmarkStart w:id="97" w:name="_Toc27682"/>
      <w:bookmarkStart w:id="98" w:name="_Toc31554"/>
      <w:bookmarkStart w:id="99" w:name="_Toc3715"/>
      <w:r>
        <w:rPr>
          <w:rFonts w:hint="eastAsia"/>
        </w:rPr>
        <w:t>Option 2: UE indicates its supported functionality of an AI/ML-enabled feature in a UE capability report, where the applicable conditions of a functionality are indicated by a combination of the conditions.</w:t>
      </w:r>
      <w:bookmarkEnd w:id="97"/>
      <w:bookmarkEnd w:id="98"/>
      <w:bookmarkEnd w:id="99"/>
    </w:p>
    <w:p>
      <w:pPr>
        <w:pStyle w:val="26"/>
        <w:spacing w:before="72" w:after="72"/>
      </w:pPr>
      <w:bookmarkStart w:id="100" w:name="_Toc24362"/>
      <w:bookmarkStart w:id="101" w:name="_Toc27421"/>
      <w:bookmarkStart w:id="102" w:name="_Toc17060"/>
      <w:r>
        <w:rPr>
          <w:rFonts w:hint="eastAsia"/>
        </w:rPr>
        <w:t>Option 3: UE indicates its supported model IDs</w:t>
      </w:r>
      <w:r>
        <w:rPr>
          <w:rFonts w:hint="eastAsia"/>
          <w:lang w:val="en-US" w:eastAsia="zh-CN"/>
        </w:rPr>
        <w:t xml:space="preserve"> </w:t>
      </w:r>
      <w:r>
        <w:rPr>
          <w:rFonts w:hint="eastAsia"/>
        </w:rPr>
        <w:t xml:space="preserve">(e.g., global </w:t>
      </w:r>
      <w:r>
        <w:t>‘</w:t>
      </w:r>
      <w:r>
        <w:rPr>
          <w:rFonts w:hint="eastAsia"/>
        </w:rPr>
        <w:t>unique</w:t>
      </w:r>
      <w:r>
        <w:t>’</w:t>
      </w:r>
      <w:r>
        <w:rPr>
          <w:rFonts w:hint="eastAsia"/>
        </w:rPr>
        <w:t xml:space="preserve"> model IDs) of an AI/ML-enabled feature in a UE capability report.</w:t>
      </w:r>
      <w:bookmarkEnd w:id="100"/>
      <w:bookmarkEnd w:id="101"/>
      <w:bookmarkEnd w:id="102"/>
      <w:r>
        <w:rPr>
          <w:rFonts w:hint="eastAsia"/>
        </w:rPr>
        <w:t xml:space="preserve"> </w:t>
      </w:r>
    </w:p>
    <w:p>
      <w:pPr>
        <w:pStyle w:val="23"/>
        <w:spacing w:before="72" w:after="72"/>
        <w:rPr>
          <w:lang w:val="en-US"/>
        </w:rPr>
      </w:pPr>
      <w:bookmarkStart w:id="103" w:name="_Toc24585"/>
      <w:bookmarkStart w:id="104" w:name="_Toc13597"/>
      <w:bookmarkStart w:id="105" w:name="_Toc5631"/>
      <w:r>
        <w:rPr>
          <w:rFonts w:hint="eastAsia"/>
          <w:lang w:val="en-US"/>
        </w:rPr>
        <w:t>Support of NW to assign a local identifier to the functionality/model reported by UE or configured by NW</w:t>
      </w:r>
      <w:r>
        <w:rPr>
          <w:rFonts w:hint="eastAsia"/>
          <w:lang w:val="en-US" w:eastAsia="zh-CN"/>
        </w:rPr>
        <w:t xml:space="preserve"> </w:t>
      </w:r>
      <w:r>
        <w:rPr>
          <w:rFonts w:hint="eastAsia"/>
          <w:lang w:val="en-US"/>
        </w:rPr>
        <w:t>(i.e., via model transfer). From network perspective, the local identifier is mapped to a function unit operated at UE that is not transparent to network no matter the function unit is associated with a functionality or a model.</w:t>
      </w:r>
      <w:bookmarkEnd w:id="103"/>
      <w:bookmarkEnd w:id="104"/>
      <w:bookmarkEnd w:id="105"/>
    </w:p>
    <w:p>
      <w:pPr>
        <w:pStyle w:val="23"/>
        <w:spacing w:before="72" w:after="72"/>
        <w:rPr>
          <w:lang w:val="en-US"/>
        </w:rPr>
      </w:pPr>
      <w:bookmarkStart w:id="106" w:name="_Toc18332"/>
      <w:bookmarkStart w:id="107" w:name="_Toc25297"/>
      <w:bookmarkStart w:id="108" w:name="_Toc12666"/>
      <w:r>
        <w:rPr>
          <w:lang w:val="en-US"/>
        </w:rPr>
        <w:t xml:space="preserve">Totally different signaling frameworks for functionality-based LCM and model-ID-based LCM </w:t>
      </w:r>
      <w:r>
        <w:rPr>
          <w:rFonts w:hint="eastAsia"/>
          <w:lang w:val="en-US"/>
        </w:rPr>
        <w:t>are</w:t>
      </w:r>
      <w:r>
        <w:rPr>
          <w:lang w:val="en-US"/>
        </w:rPr>
        <w:t xml:space="preserve"> not </w:t>
      </w:r>
      <w:r>
        <w:rPr>
          <w:rFonts w:hint="eastAsia"/>
          <w:lang w:val="en-US" w:eastAsia="zh-CN"/>
        </w:rPr>
        <w:t>preferred</w:t>
      </w:r>
      <w:r>
        <w:rPr>
          <w:rFonts w:hint="eastAsia"/>
          <w:lang w:val="en-US"/>
        </w:rPr>
        <w:t xml:space="preserve">. Support of a unified signaling framework based on the local identifier assigned by NW for various LCM procedures, </w:t>
      </w:r>
      <w:r>
        <w:rPr>
          <w:rFonts w:hint="eastAsia" w:eastAsia="微软雅黑"/>
          <w:lang w:val="en-US"/>
        </w:rPr>
        <w:t>e.g., measurement report, performance monitoring, activation/deactivation, selection, or switching.</w:t>
      </w:r>
      <w:bookmarkEnd w:id="106"/>
      <w:bookmarkEnd w:id="107"/>
      <w:bookmarkEnd w:id="108"/>
    </w:p>
    <w:p>
      <w:pPr>
        <w:pStyle w:val="3"/>
        <w:spacing w:before="72" w:beforeLines="30" w:after="72" w:afterLines="30" w:line="288" w:lineRule="auto"/>
      </w:pPr>
      <w:r>
        <w:rPr>
          <w:rFonts w:hint="eastAsia"/>
        </w:rPr>
        <w:t>Model transfer/delivery</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jc w:val="left"/>
              <w:rPr>
                <w:rFonts w:eastAsia="等线"/>
                <w:b/>
                <w:bCs/>
                <w:iCs/>
                <w:kern w:val="0"/>
                <w:u w:val="single"/>
              </w:rPr>
            </w:pPr>
            <w:r>
              <w:rPr>
                <w:rFonts w:eastAsia="等线"/>
                <w:b/>
                <w:bCs/>
                <w:iCs/>
                <w:kern w:val="0"/>
                <w:u w:val="single"/>
                <w:lang w:bidi="ar"/>
              </w:rPr>
              <w:t>Working Assumption</w:t>
            </w:r>
            <w:r>
              <w:rPr>
                <w:rFonts w:hint="eastAsia" w:eastAsia="等线"/>
                <w:b/>
                <w:bCs/>
                <w:iCs/>
                <w:kern w:val="0"/>
                <w:u w:val="single"/>
                <w:lang w:bidi="ar"/>
              </w:rPr>
              <w:t>:</w:t>
            </w:r>
          </w:p>
          <w:p>
            <w:pPr>
              <w:spacing w:before="72" w:beforeLines="30" w:after="72" w:afterLines="30" w:line="288" w:lineRule="auto"/>
              <w:jc w:val="left"/>
              <w:rPr>
                <w:rFonts w:eastAsia="Batang"/>
                <w:kern w:val="0"/>
                <w:lang w:eastAsia="en-US"/>
              </w:rPr>
            </w:pPr>
            <w:r>
              <w:rPr>
                <w:rFonts w:eastAsia="宋体"/>
                <w:kern w:val="0"/>
                <w:lang w:bidi="ar"/>
              </w:rPr>
              <w:t xml:space="preserve">Consider “proprietary model” and “open-format model” as two separate model format categories for RAN1 discussion, </w:t>
            </w:r>
          </w:p>
          <w:tbl>
            <w:tblPr>
              <w:tblStyle w:val="15"/>
              <w:tblW w:w="0" w:type="auto"/>
              <w:tblInd w:w="0" w:type="dxa"/>
              <w:tblLayout w:type="autofit"/>
              <w:tblCellMar>
                <w:top w:w="0" w:type="dxa"/>
                <w:left w:w="108" w:type="dxa"/>
                <w:bottom w:w="0" w:type="dxa"/>
                <w:right w:w="108" w:type="dxa"/>
              </w:tblCellMar>
            </w:tblPr>
            <w:tblGrid>
              <w:gridCol w:w="2902"/>
              <w:gridCol w:w="6717"/>
            </w:tblGrid>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rPr>
                      <w:rFonts w:eastAsia="宋体"/>
                      <w:kern w:val="0"/>
                      <w:lang w:eastAsia="en-US"/>
                    </w:rPr>
                  </w:pPr>
                  <w:r>
                    <w:rPr>
                      <w:rFonts w:eastAsia="宋体"/>
                      <w:kern w:val="0"/>
                      <w:lang w:bidi="ar"/>
                    </w:rPr>
                    <w:t>Proprietary-format models</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jc w:val="left"/>
                    <w:rPr>
                      <w:rFonts w:eastAsia="宋体"/>
                      <w:b/>
                      <w:bCs/>
                      <w:kern w:val="0"/>
                      <w:lang w:eastAsia="en-US"/>
                    </w:rPr>
                  </w:pPr>
                  <w:r>
                    <w:rPr>
                      <w:rFonts w:eastAsia="宋体"/>
                      <w:kern w:val="0"/>
                      <w:lang w:bidi="ar"/>
                    </w:rPr>
                    <w:t>ML models of vendor-/device-specific proprietary format, from 3GPP perspective</w:t>
                  </w:r>
                </w:p>
                <w:p>
                  <w:pPr>
                    <w:spacing w:before="72" w:beforeLines="30" w:after="72" w:afterLines="30" w:line="288" w:lineRule="auto"/>
                    <w:jc w:val="left"/>
                    <w:rPr>
                      <w:rFonts w:eastAsia="宋体"/>
                      <w:kern w:val="0"/>
                      <w:lang w:eastAsia="en-US"/>
                    </w:rPr>
                  </w:pPr>
                  <w:r>
                    <w:rPr>
                      <w:rFonts w:eastAsia="宋体"/>
                      <w:kern w:val="0"/>
                      <w:lang w:bidi="ar"/>
                    </w:rPr>
                    <w:t>NOTE: An example is a device-specific binary executable format</w:t>
                  </w:r>
                </w:p>
              </w:tc>
            </w:tr>
            <w:tr>
              <w:tblPrEx>
                <w:tblCellMar>
                  <w:top w:w="0" w:type="dxa"/>
                  <w:left w:w="108" w:type="dxa"/>
                  <w:bottom w:w="0" w:type="dxa"/>
                  <w:right w:w="108" w:type="dxa"/>
                </w:tblCellMar>
              </w:tblPrEx>
              <w:trPr>
                <w:trHeight w:val="410" w:hRule="atLeast"/>
              </w:trPr>
              <w:tc>
                <w:tcPr>
                  <w:tcW w:w="2902"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rPr>
                      <w:rFonts w:eastAsia="宋体"/>
                      <w:kern w:val="0"/>
                      <w:lang w:eastAsia="en-US"/>
                    </w:rPr>
                  </w:pPr>
                  <w:r>
                    <w:rPr>
                      <w:rFonts w:eastAsia="宋体"/>
                      <w:kern w:val="0"/>
                      <w:lang w:bidi="ar"/>
                    </w:rPr>
                    <w:t>Open-format models</w:t>
                  </w:r>
                </w:p>
              </w:tc>
              <w:tc>
                <w:tcPr>
                  <w:tcW w:w="6717" w:type="dxa"/>
                  <w:tcBorders>
                    <w:top w:val="single" w:color="000000" w:sz="8" w:space="0"/>
                    <w:left w:val="single" w:color="000000" w:sz="8" w:space="0"/>
                    <w:bottom w:val="single" w:color="000000" w:sz="8" w:space="0"/>
                    <w:right w:val="single" w:color="000000" w:sz="8" w:space="0"/>
                  </w:tcBorders>
                  <w:tcMar>
                    <w:top w:w="15" w:type="dxa"/>
                    <w:left w:w="51" w:type="dxa"/>
                    <w:right w:w="51" w:type="dxa"/>
                  </w:tcMar>
                </w:tcPr>
                <w:p>
                  <w:pPr>
                    <w:spacing w:before="72" w:beforeLines="30" w:after="72" w:afterLines="30" w:line="288" w:lineRule="auto"/>
                    <w:jc w:val="left"/>
                    <w:rPr>
                      <w:rFonts w:eastAsia="Yu Mincho"/>
                      <w:kern w:val="0"/>
                      <w:lang w:eastAsia="en-US"/>
                    </w:rPr>
                  </w:pPr>
                  <w:r>
                    <w:rPr>
                      <w:rFonts w:eastAsia="宋体"/>
                      <w:kern w:val="0"/>
                      <w:lang w:bidi="ar"/>
                    </w:rPr>
                    <w:t>ML models of specified format that are mutually recognizable across vendors and allow interoperability, from 3GPP perspec</w:t>
                  </w:r>
                  <w:r>
                    <w:rPr>
                      <w:rFonts w:hint="eastAsia" w:eastAsia="宋体"/>
                      <w:kern w:val="0"/>
                      <w:lang w:bidi="ar"/>
                    </w:rPr>
                    <w:t>t</w:t>
                  </w:r>
                  <w:r>
                    <w:rPr>
                      <w:rFonts w:eastAsia="宋体"/>
                      <w:kern w:val="0"/>
                      <w:lang w:bidi="ar"/>
                    </w:rPr>
                    <w:t>ive</w:t>
                  </w:r>
                </w:p>
              </w:tc>
            </w:tr>
          </w:tbl>
          <w:p>
            <w:pPr>
              <w:spacing w:before="72" w:beforeLines="30" w:after="72" w:afterLines="30" w:line="288" w:lineRule="auto"/>
              <w:jc w:val="left"/>
              <w:rPr>
                <w:rFonts w:eastAsia="Batang"/>
                <w:kern w:val="0"/>
                <w:lang w:eastAsia="en-US"/>
              </w:rPr>
            </w:pPr>
            <w:r>
              <w:rPr>
                <w:rFonts w:eastAsia="宋体"/>
                <w:kern w:val="0"/>
                <w:lang w:bidi="ar"/>
              </w:rPr>
              <w:t>From RAN1 discussion viewpoint, RAN1 may assume that:</w:t>
            </w:r>
          </w:p>
          <w:p>
            <w:pPr>
              <w:pStyle w:val="14"/>
              <w:numPr>
                <w:ilvl w:val="0"/>
                <w:numId w:val="24"/>
              </w:numPr>
              <w:spacing w:before="72" w:beforeLines="30" w:after="72" w:afterLines="30" w:line="288" w:lineRule="auto"/>
              <w:rPr>
                <w:sz w:val="20"/>
                <w:lang w:val="en-US"/>
              </w:rPr>
            </w:pPr>
            <w:r>
              <w:rPr>
                <w:rFonts w:eastAsia="Calibri"/>
                <w:sz w:val="20"/>
                <w:lang w:val="en-US" w:eastAsia="zh-CN" w:bidi="ar"/>
              </w:rPr>
              <w:t>Proprietary-format models are not mutually recognizable across vendors, hide model design information from other vendors when shared.</w:t>
            </w:r>
          </w:p>
          <w:p>
            <w:pPr>
              <w:pStyle w:val="14"/>
              <w:numPr>
                <w:ilvl w:val="0"/>
                <w:numId w:val="24"/>
              </w:numPr>
              <w:spacing w:before="72" w:beforeLines="30" w:after="72" w:afterLines="30" w:line="288" w:lineRule="auto"/>
              <w:rPr>
                <w:sz w:val="20"/>
                <w:lang w:val="en-US" w:eastAsia="zh-CN"/>
              </w:rPr>
            </w:pPr>
            <w:r>
              <w:rPr>
                <w:rFonts w:eastAsia="Calibri"/>
                <w:sz w:val="20"/>
                <w:lang w:val="en-US" w:eastAsia="zh-CN" w:bidi="ar"/>
              </w:rPr>
              <w:t>Open-format models are mutually recognizable between vendors, do not hide model design information from other vendors when shared</w:t>
            </w:r>
          </w:p>
        </w:tc>
      </w:tr>
    </w:tbl>
    <w:p>
      <w:pPr>
        <w:snapToGrid w:val="0"/>
        <w:spacing w:before="72" w:beforeLines="30" w:after="72" w:afterLines="30" w:line="288" w:lineRule="auto"/>
        <w:rPr>
          <w:rFonts w:eastAsia="宋体"/>
          <w:kern w:val="0"/>
          <w:lang w:bidi="ar"/>
        </w:rPr>
      </w:pPr>
      <w:r>
        <w:rPr>
          <w:rFonts w:hint="eastAsia" w:eastAsia="微软雅黑"/>
          <w:kern w:val="0"/>
        </w:rPr>
        <w:t>RAN1#111 gave</w:t>
      </w:r>
      <w:r>
        <w:rPr>
          <w:rFonts w:eastAsia="宋体"/>
          <w:kern w:val="0"/>
          <w:lang w:bidi="ar"/>
        </w:rPr>
        <w:t xml:space="preserve"> </w:t>
      </w:r>
      <w:r>
        <w:rPr>
          <w:rFonts w:hint="eastAsia" w:eastAsia="宋体"/>
          <w:kern w:val="0"/>
          <w:lang w:bidi="ar"/>
        </w:rPr>
        <w:t xml:space="preserve">some concrete descriptions about </w:t>
      </w:r>
      <w:r>
        <w:rPr>
          <w:rFonts w:eastAsia="宋体"/>
          <w:kern w:val="0"/>
          <w:lang w:bidi="ar"/>
        </w:rPr>
        <w:t>“proprietary model” and “open-format model”</w:t>
      </w:r>
      <w:r>
        <w:rPr>
          <w:rFonts w:hint="eastAsia" w:eastAsia="宋体"/>
          <w:kern w:val="0"/>
          <w:lang w:bidi="ar"/>
        </w:rPr>
        <w:t xml:space="preserve">. The differentiation is whether a model can be mutually recognizable across vendors. Also, the pros and cons for </w:t>
      </w:r>
      <w:r>
        <w:rPr>
          <w:rFonts w:eastAsia="宋体"/>
          <w:kern w:val="0"/>
          <w:lang w:bidi="ar"/>
        </w:rPr>
        <w:t xml:space="preserve">“proprietary model” and “open-format model” </w:t>
      </w:r>
      <w:r>
        <w:rPr>
          <w:rFonts w:hint="eastAsia" w:eastAsia="宋体"/>
          <w:kern w:val="0"/>
          <w:lang w:bidi="ar"/>
        </w:rPr>
        <w:t>are discussed as below:</w:t>
      </w:r>
    </w:p>
    <w:p>
      <w:pPr>
        <w:numPr>
          <w:ilvl w:val="0"/>
          <w:numId w:val="25"/>
        </w:numPr>
        <w:snapToGrid w:val="0"/>
        <w:spacing w:before="72" w:beforeLines="30" w:after="72" w:afterLines="30" w:line="288" w:lineRule="auto"/>
        <w:rPr>
          <w:rFonts w:eastAsia="宋体"/>
          <w:kern w:val="0"/>
          <w:lang w:bidi="ar"/>
        </w:rPr>
      </w:pPr>
      <w:r>
        <w:rPr>
          <w:rFonts w:eastAsia="微软雅黑"/>
          <w:kern w:val="0"/>
        </w:rPr>
        <w:t xml:space="preserve">Concerns </w:t>
      </w:r>
      <w:r>
        <w:rPr>
          <w:rFonts w:eastAsia="宋体"/>
          <w:kern w:val="0"/>
          <w:lang w:bidi="ar"/>
        </w:rPr>
        <w:t>with model delivery in an open format:</w:t>
      </w:r>
    </w:p>
    <w:p>
      <w:pPr>
        <w:numPr>
          <w:ilvl w:val="0"/>
          <w:numId w:val="18"/>
        </w:numPr>
        <w:snapToGrid w:val="0"/>
        <w:spacing w:before="72" w:beforeLines="30" w:after="72" w:afterLines="30" w:line="288" w:lineRule="auto"/>
        <w:rPr>
          <w:rFonts w:eastAsia="微软雅黑"/>
          <w:kern w:val="0"/>
        </w:rPr>
      </w:pPr>
      <w:r>
        <w:rPr>
          <w:rFonts w:hint="eastAsia" w:eastAsia="微软雅黑"/>
          <w:kern w:val="0"/>
        </w:rPr>
        <w:t xml:space="preserve">Once UE receives the open-format model, UE has to compile the model into an executable format. It may require advanced UE capability for compiling and running the model. </w:t>
      </w:r>
    </w:p>
    <w:p>
      <w:pPr>
        <w:numPr>
          <w:ilvl w:val="0"/>
          <w:numId w:val="18"/>
        </w:numPr>
        <w:snapToGrid w:val="0"/>
        <w:spacing w:before="72" w:beforeLines="30" w:after="72" w:afterLines="30" w:line="288" w:lineRule="auto"/>
        <w:rPr>
          <w:rFonts w:eastAsia="微软雅黑"/>
          <w:kern w:val="0"/>
        </w:rPr>
      </w:pPr>
      <w:r>
        <w:rPr>
          <w:rFonts w:eastAsia="微软雅黑"/>
          <w:kern w:val="0"/>
        </w:rPr>
        <w:t>Proprietary model information is disclosed across vendors.</w:t>
      </w:r>
      <w:r>
        <w:rPr>
          <w:rFonts w:hint="eastAsia" w:eastAsia="微软雅黑"/>
          <w:kern w:val="0"/>
        </w:rPr>
        <w:t xml:space="preserve"> In most cases, network vendor and UE/chipset vendor are from different equipment manufacturers, so the intellectual property should be ensured to protect companies</w:t>
      </w:r>
      <w:r>
        <w:rPr>
          <w:rFonts w:eastAsia="微软雅黑"/>
          <w:kern w:val="0"/>
        </w:rPr>
        <w:t>’</w:t>
      </w:r>
      <w:r>
        <w:rPr>
          <w:rFonts w:hint="eastAsia" w:eastAsia="微软雅黑"/>
          <w:kern w:val="0"/>
        </w:rPr>
        <w:t xml:space="preserve"> innovations. However, when the model is in open format, there is no way to avoid the disclosure of proprietary information.</w:t>
      </w:r>
    </w:p>
    <w:p>
      <w:pPr>
        <w:numPr>
          <w:ilvl w:val="0"/>
          <w:numId w:val="18"/>
        </w:numPr>
        <w:snapToGrid w:val="0"/>
        <w:spacing w:before="72" w:beforeLines="30" w:after="72" w:afterLines="30" w:line="288" w:lineRule="auto"/>
        <w:rPr>
          <w:rFonts w:eastAsia="微软雅黑"/>
          <w:kern w:val="0"/>
        </w:rPr>
      </w:pPr>
      <w:r>
        <w:rPr>
          <w:rFonts w:eastAsia="微软雅黑"/>
          <w:kern w:val="0"/>
        </w:rPr>
        <w:t>Model performance (e.g., intermediate KPIs</w:t>
      </w:r>
      <w:r>
        <w:rPr>
          <w:rFonts w:hint="eastAsia" w:eastAsia="微软雅黑"/>
          <w:kern w:val="0"/>
        </w:rPr>
        <w:t xml:space="preserve">, </w:t>
      </w:r>
      <w:r>
        <w:rPr>
          <w:rFonts w:eastAsia="微软雅黑"/>
          <w:kern w:val="0"/>
        </w:rPr>
        <w:t>end-to-end performance</w:t>
      </w:r>
      <w:r>
        <w:rPr>
          <w:rFonts w:hint="eastAsia" w:eastAsia="微软雅黑"/>
          <w:kern w:val="0"/>
        </w:rPr>
        <w:t>, inference latency</w:t>
      </w:r>
      <w:r>
        <w:rPr>
          <w:rFonts w:eastAsia="微软雅黑"/>
          <w:kern w:val="0"/>
        </w:rPr>
        <w:t>) is not guaranteed.</w:t>
      </w:r>
      <w:r>
        <w:rPr>
          <w:rFonts w:hint="eastAsia" w:eastAsia="微软雅黑"/>
          <w:kern w:val="0"/>
        </w:rPr>
        <w:t xml:space="preserve"> Generally, device</w:t>
      </w:r>
      <w:r>
        <w:rPr>
          <w:rFonts w:eastAsia="微软雅黑"/>
          <w:kern w:val="0"/>
        </w:rPr>
        <w:t>’</w:t>
      </w:r>
      <w:r>
        <w:rPr>
          <w:rFonts w:hint="eastAsia" w:eastAsia="微软雅黑"/>
          <w:kern w:val="0"/>
        </w:rPr>
        <w:t xml:space="preserve">s AI/ML processor may not be optimized for a </w:t>
      </w:r>
      <w:r>
        <w:rPr>
          <w:rFonts w:eastAsia="微软雅黑"/>
          <w:kern w:val="0"/>
        </w:rPr>
        <w:t>certain type of neural network</w:t>
      </w:r>
      <w:r>
        <w:rPr>
          <w:rFonts w:hint="eastAsia" w:eastAsia="微软雅黑"/>
          <w:kern w:val="0"/>
        </w:rPr>
        <w:t>. If UE receives a</w:t>
      </w:r>
      <w:r>
        <w:rPr>
          <w:rFonts w:eastAsia="微软雅黑"/>
          <w:kern w:val="0"/>
        </w:rPr>
        <w:t>n</w:t>
      </w:r>
      <w:r>
        <w:rPr>
          <w:rFonts w:hint="eastAsia" w:eastAsia="微软雅黑"/>
          <w:kern w:val="0"/>
        </w:rPr>
        <w:t xml:space="preserve"> AI/ML model that cannot be accelerated, the inference latency may be much </w:t>
      </w:r>
      <w:r>
        <w:rPr>
          <w:rFonts w:eastAsia="微软雅黑"/>
          <w:kern w:val="0"/>
        </w:rPr>
        <w:t>larger</w:t>
      </w:r>
      <w:r>
        <w:rPr>
          <w:rFonts w:hint="eastAsia" w:eastAsia="微软雅黑"/>
          <w:kern w:val="0"/>
        </w:rPr>
        <w:t xml:space="preserve"> than optimized model. In addition, when UE compiles the AI/ML model, the model parameters may be quantized/tailored to adapt to UE</w:t>
      </w:r>
      <w:r>
        <w:rPr>
          <w:rFonts w:eastAsia="微软雅黑"/>
          <w:kern w:val="0"/>
        </w:rPr>
        <w:t>’</w:t>
      </w:r>
      <w:r>
        <w:rPr>
          <w:rFonts w:hint="eastAsia" w:eastAsia="微软雅黑"/>
          <w:kern w:val="0"/>
        </w:rPr>
        <w:t>s hardware environment. Then, the model inference accuracy will be impacted and unpredictable.</w:t>
      </w:r>
    </w:p>
    <w:p>
      <w:pPr>
        <w:numPr>
          <w:ilvl w:val="0"/>
          <w:numId w:val="18"/>
        </w:numPr>
        <w:snapToGrid w:val="0"/>
        <w:spacing w:before="72" w:beforeLines="30" w:after="72" w:afterLines="30" w:line="288" w:lineRule="auto"/>
        <w:rPr>
          <w:rFonts w:eastAsia="微软雅黑"/>
          <w:kern w:val="0"/>
        </w:rPr>
      </w:pPr>
      <w:r>
        <w:rPr>
          <w:rFonts w:hint="eastAsia" w:eastAsia="微软雅黑"/>
          <w:kern w:val="0"/>
        </w:rPr>
        <w:t>Large s</w:t>
      </w:r>
      <w:r>
        <w:rPr>
          <w:rFonts w:eastAsia="微软雅黑"/>
          <w:kern w:val="0"/>
        </w:rPr>
        <w:t>pecification impact</w:t>
      </w:r>
      <w:r>
        <w:rPr>
          <w:rFonts w:hint="eastAsia" w:eastAsia="微软雅黑"/>
          <w:kern w:val="0"/>
        </w:rPr>
        <w:t xml:space="preserve">s. From forward compatibility point of view, open format can </w:t>
      </w:r>
      <w:r>
        <w:rPr>
          <w:rFonts w:eastAsia="微软雅黑"/>
          <w:kern w:val="0"/>
        </w:rPr>
        <w:t xml:space="preserve">embrace </w:t>
      </w:r>
      <w:r>
        <w:rPr>
          <w:rFonts w:hint="eastAsia" w:eastAsia="微软雅黑"/>
          <w:kern w:val="0"/>
        </w:rPr>
        <w:t>the rapid development of machine learning society. However, it may require specification efforts to maintain the standardized model format so that it can adapt to various model designs and various platforms developed by companies. Therefore, it should be better to check with other working groups on the feasibility of supporting open format.</w:t>
      </w:r>
    </w:p>
    <w:p>
      <w:pPr>
        <w:numPr>
          <w:ilvl w:val="0"/>
          <w:numId w:val="25"/>
        </w:numPr>
        <w:snapToGrid w:val="0"/>
        <w:spacing w:before="72" w:beforeLines="30" w:after="72" w:afterLines="30" w:line="288" w:lineRule="auto"/>
        <w:rPr>
          <w:rFonts w:eastAsia="宋体"/>
          <w:kern w:val="0"/>
          <w:lang w:bidi="ar"/>
        </w:rPr>
      </w:pPr>
      <w:r>
        <w:rPr>
          <w:rFonts w:eastAsia="宋体"/>
          <w:kern w:val="0"/>
          <w:lang w:bidi="ar"/>
        </w:rPr>
        <w:t xml:space="preserve">Benefits of </w:t>
      </w:r>
      <w:r>
        <w:rPr>
          <w:rFonts w:eastAsia="微软雅黑"/>
          <w:kern w:val="0"/>
        </w:rPr>
        <w:t xml:space="preserve">model </w:t>
      </w:r>
      <w:r>
        <w:rPr>
          <w:rFonts w:eastAsia="宋体"/>
          <w:kern w:val="0"/>
          <w:lang w:bidi="ar"/>
        </w:rPr>
        <w:t>delivery in an open format:</w:t>
      </w:r>
    </w:p>
    <w:p>
      <w:pPr>
        <w:numPr>
          <w:ilvl w:val="0"/>
          <w:numId w:val="18"/>
        </w:numPr>
        <w:snapToGrid w:val="0"/>
        <w:spacing w:before="72" w:beforeLines="30" w:after="72" w:afterLines="30" w:line="288" w:lineRule="auto"/>
        <w:rPr>
          <w:rFonts w:eastAsia="微软雅黑"/>
          <w:kern w:val="0"/>
        </w:rPr>
      </w:pPr>
      <w:r>
        <w:rPr>
          <w:rFonts w:eastAsia="微软雅黑"/>
          <w:kern w:val="0"/>
        </w:rPr>
        <w:t>Shorter model update timescale compared to proprietary-format models that need offline model re-training, compiling, and testing</w:t>
      </w:r>
    </w:p>
    <w:p>
      <w:pPr>
        <w:numPr>
          <w:ilvl w:val="0"/>
          <w:numId w:val="18"/>
        </w:numPr>
        <w:snapToGrid w:val="0"/>
        <w:spacing w:before="72" w:beforeLines="30" w:after="72" w:afterLines="30" w:line="288" w:lineRule="auto"/>
        <w:rPr>
          <w:rFonts w:eastAsia="微软雅黑"/>
          <w:kern w:val="0"/>
        </w:rPr>
      </w:pPr>
      <w:r>
        <w:rPr>
          <w:rFonts w:hint="eastAsia" w:eastAsia="微软雅黑"/>
          <w:kern w:val="0"/>
        </w:rPr>
        <w:t xml:space="preserve">Joint model development across vendors. As discussed in section 2.3, if one vendor provides its supported </w:t>
      </w:r>
      <w:r>
        <w:rPr>
          <w:rFonts w:eastAsia="微软雅黑"/>
          <w:kern w:val="0"/>
        </w:rPr>
        <w:t xml:space="preserve">model </w:t>
      </w:r>
      <w:r>
        <w:rPr>
          <w:rFonts w:hint="eastAsia" w:eastAsia="微软雅黑"/>
          <w:kern w:val="0"/>
        </w:rPr>
        <w:t>structure, another vendor can fine-tune the model.</w:t>
      </w:r>
    </w:p>
    <w:p>
      <w:pPr>
        <w:pStyle w:val="25"/>
        <w:spacing w:before="72" w:after="72"/>
        <w:rPr>
          <w:lang w:val="en-US" w:eastAsia="zh-CN"/>
        </w:rPr>
      </w:pPr>
      <w:r>
        <w:rPr>
          <w:rFonts w:hint="eastAsia"/>
          <w:lang w:val="en-US" w:eastAsia="zh-CN"/>
        </w:rPr>
        <w:t xml:space="preserve"> </w:t>
      </w:r>
      <w:bookmarkStart w:id="109" w:name="_Toc6055"/>
      <w:bookmarkStart w:id="110" w:name="_Toc23418"/>
      <w:bookmarkStart w:id="111" w:name="_Toc131690107"/>
      <w:bookmarkStart w:id="112" w:name="_Toc8380"/>
      <w:r>
        <w:rPr>
          <w:rFonts w:hint="eastAsia"/>
          <w:lang w:val="en-US" w:eastAsia="zh-CN"/>
        </w:rPr>
        <w:t>From RAN1 perspective, model delivery in an open-format has following concerns and benefits:</w:t>
      </w:r>
      <w:bookmarkEnd w:id="109"/>
      <w:bookmarkEnd w:id="110"/>
      <w:bookmarkEnd w:id="111"/>
      <w:bookmarkEnd w:id="112"/>
    </w:p>
    <w:p>
      <w:pPr>
        <w:pStyle w:val="27"/>
        <w:spacing w:before="72" w:after="72"/>
        <w:rPr>
          <w:kern w:val="0"/>
          <w:lang w:bidi="ar"/>
        </w:rPr>
      </w:pPr>
      <w:bookmarkStart w:id="113" w:name="_Toc30587"/>
      <w:bookmarkStart w:id="114" w:name="_Toc31851"/>
      <w:bookmarkStart w:id="115" w:name="_Toc20491"/>
      <w:bookmarkStart w:id="116" w:name="_Toc131690108"/>
      <w:r>
        <w:rPr>
          <w:rFonts w:hint="eastAsia"/>
        </w:rPr>
        <w:t xml:space="preserve">Concerns </w:t>
      </w:r>
      <w:r>
        <w:rPr>
          <w:kern w:val="0"/>
          <w:lang w:bidi="ar"/>
        </w:rPr>
        <w:t>with model delivery in an open format:</w:t>
      </w:r>
      <w:bookmarkEnd w:id="113"/>
      <w:bookmarkEnd w:id="114"/>
      <w:bookmarkEnd w:id="115"/>
      <w:bookmarkEnd w:id="116"/>
    </w:p>
    <w:p>
      <w:pPr>
        <w:pStyle w:val="29"/>
        <w:tabs>
          <w:tab w:val="left" w:pos="993"/>
        </w:tabs>
        <w:spacing w:before="72" w:after="72"/>
        <w:ind w:left="400" w:leftChars="200" w:firstLine="0" w:firstLineChars="0"/>
      </w:pPr>
      <w:bookmarkStart w:id="117" w:name="_Toc131690109"/>
      <w:bookmarkStart w:id="118" w:name="_Toc11630"/>
      <w:bookmarkStart w:id="119" w:name="_Toc2340"/>
      <w:bookmarkStart w:id="120" w:name="_Toc12075"/>
      <w:r>
        <w:rPr>
          <w:rFonts w:hint="eastAsia"/>
        </w:rPr>
        <w:t>Require advanced UE capability for compiling and running the model;</w:t>
      </w:r>
      <w:bookmarkEnd w:id="117"/>
      <w:bookmarkEnd w:id="118"/>
      <w:bookmarkEnd w:id="119"/>
      <w:bookmarkEnd w:id="120"/>
    </w:p>
    <w:p>
      <w:pPr>
        <w:pStyle w:val="29"/>
        <w:tabs>
          <w:tab w:val="left" w:pos="993"/>
        </w:tabs>
        <w:spacing w:before="72" w:after="72"/>
        <w:ind w:left="400" w:leftChars="200" w:firstLine="0" w:firstLineChars="0"/>
      </w:pPr>
      <w:bookmarkStart w:id="121" w:name="_Toc19870"/>
      <w:bookmarkStart w:id="122" w:name="_Toc30239"/>
      <w:bookmarkStart w:id="123" w:name="_Toc131690110"/>
      <w:bookmarkStart w:id="124" w:name="_Toc22739"/>
      <w:r>
        <w:rPr>
          <w:rFonts w:hint="eastAsia"/>
        </w:rPr>
        <w:t>Proprietary model information disclosed across vendors;</w:t>
      </w:r>
      <w:bookmarkEnd w:id="121"/>
      <w:bookmarkEnd w:id="122"/>
      <w:bookmarkEnd w:id="123"/>
      <w:bookmarkEnd w:id="124"/>
      <w:r>
        <w:rPr>
          <w:rFonts w:hint="eastAsia"/>
        </w:rPr>
        <w:t xml:space="preserve"> </w:t>
      </w:r>
    </w:p>
    <w:p>
      <w:pPr>
        <w:pStyle w:val="29"/>
        <w:tabs>
          <w:tab w:val="left" w:pos="993"/>
        </w:tabs>
        <w:spacing w:before="72" w:after="72"/>
        <w:ind w:left="400" w:leftChars="200" w:firstLine="0" w:firstLineChars="0"/>
      </w:pPr>
      <w:bookmarkStart w:id="125" w:name="_Toc26923"/>
      <w:bookmarkStart w:id="126" w:name="_Toc131690111"/>
      <w:bookmarkStart w:id="127" w:name="_Toc7222"/>
      <w:bookmarkStart w:id="128" w:name="_Toc18208"/>
      <w:r>
        <w:rPr>
          <w:rFonts w:hint="eastAsia"/>
        </w:rPr>
        <w:t>Model performance (e.g., intermediate KPIs, end-to-end performance, inference latency) is not guaranteed;</w:t>
      </w:r>
      <w:bookmarkEnd w:id="125"/>
      <w:bookmarkEnd w:id="126"/>
      <w:bookmarkEnd w:id="127"/>
      <w:bookmarkEnd w:id="128"/>
    </w:p>
    <w:p>
      <w:pPr>
        <w:pStyle w:val="29"/>
        <w:tabs>
          <w:tab w:val="left" w:pos="993"/>
        </w:tabs>
        <w:spacing w:before="72" w:after="72"/>
        <w:ind w:left="400" w:leftChars="200" w:firstLine="0" w:firstLineChars="0"/>
      </w:pPr>
      <w:bookmarkStart w:id="129" w:name="_Toc131690112"/>
      <w:bookmarkStart w:id="130" w:name="_Toc11223"/>
      <w:bookmarkStart w:id="131" w:name="_Toc18366"/>
      <w:bookmarkStart w:id="132" w:name="_Toc4263"/>
      <w:r>
        <w:rPr>
          <w:rFonts w:hint="eastAsia"/>
        </w:rPr>
        <w:t>Large specification impacts.</w:t>
      </w:r>
      <w:bookmarkEnd w:id="129"/>
      <w:bookmarkEnd w:id="130"/>
      <w:bookmarkEnd w:id="131"/>
      <w:bookmarkEnd w:id="132"/>
      <w:r>
        <w:rPr>
          <w:rFonts w:hint="eastAsia"/>
        </w:rPr>
        <w:t xml:space="preserve"> </w:t>
      </w:r>
    </w:p>
    <w:p>
      <w:pPr>
        <w:pStyle w:val="27"/>
        <w:spacing w:before="72" w:after="72"/>
        <w:rPr>
          <w:kern w:val="0"/>
          <w:lang w:bidi="ar"/>
        </w:rPr>
      </w:pPr>
      <w:bookmarkStart w:id="133" w:name="_Toc14451"/>
      <w:bookmarkStart w:id="134" w:name="_Toc5073"/>
      <w:bookmarkStart w:id="135" w:name="_Toc131690113"/>
      <w:bookmarkStart w:id="136" w:name="_Toc11180"/>
      <w:r>
        <w:rPr>
          <w:rFonts w:hint="eastAsia"/>
        </w:rPr>
        <w:t xml:space="preserve">Benefits </w:t>
      </w:r>
      <w:r>
        <w:rPr>
          <w:kern w:val="0"/>
          <w:lang w:bidi="ar"/>
        </w:rPr>
        <w:t xml:space="preserve">of </w:t>
      </w:r>
      <w:r>
        <w:rPr>
          <w:rFonts w:eastAsia="微软雅黑"/>
          <w:kern w:val="0"/>
        </w:rPr>
        <w:t xml:space="preserve">model </w:t>
      </w:r>
      <w:r>
        <w:rPr>
          <w:kern w:val="0"/>
          <w:lang w:bidi="ar"/>
        </w:rPr>
        <w:t>delivery in an open format:</w:t>
      </w:r>
      <w:bookmarkEnd w:id="133"/>
      <w:bookmarkEnd w:id="134"/>
      <w:bookmarkEnd w:id="135"/>
      <w:bookmarkEnd w:id="136"/>
    </w:p>
    <w:p>
      <w:pPr>
        <w:pStyle w:val="29"/>
        <w:tabs>
          <w:tab w:val="left" w:pos="993"/>
        </w:tabs>
        <w:spacing w:before="72" w:after="72"/>
        <w:ind w:left="400" w:leftChars="200" w:firstLine="0" w:firstLineChars="0"/>
      </w:pPr>
      <w:bookmarkStart w:id="137" w:name="_Toc12008"/>
      <w:bookmarkStart w:id="138" w:name="_Toc32046"/>
      <w:bookmarkStart w:id="139" w:name="_Toc131690114"/>
      <w:bookmarkStart w:id="140" w:name="_Toc2917"/>
      <w:r>
        <w:rPr>
          <w:rFonts w:hint="eastAsia"/>
        </w:rPr>
        <w:t>Shorter model update timescale compared to proprietary-format models that need offline model re-training, compiling, and testing.</w:t>
      </w:r>
      <w:bookmarkEnd w:id="137"/>
      <w:bookmarkEnd w:id="138"/>
      <w:bookmarkEnd w:id="139"/>
      <w:bookmarkEnd w:id="140"/>
    </w:p>
    <w:p>
      <w:pPr>
        <w:pStyle w:val="29"/>
        <w:tabs>
          <w:tab w:val="left" w:pos="993"/>
        </w:tabs>
        <w:spacing w:before="72" w:after="72"/>
        <w:ind w:left="400" w:leftChars="200" w:firstLine="0" w:firstLineChars="0"/>
      </w:pPr>
      <w:bookmarkStart w:id="141" w:name="_Toc131690115"/>
      <w:bookmarkStart w:id="142" w:name="_Toc17618"/>
      <w:bookmarkStart w:id="143" w:name="_Toc19059"/>
      <w:bookmarkStart w:id="144" w:name="_Toc6060"/>
      <w:r>
        <w:rPr>
          <w:rFonts w:hint="eastAsia"/>
        </w:rPr>
        <w:t>Joint model development across vendors.</w:t>
      </w:r>
      <w:bookmarkEnd w:id="141"/>
      <w:bookmarkEnd w:id="142"/>
      <w:bookmarkEnd w:id="143"/>
      <w:bookmarkEnd w:id="144"/>
      <w:r>
        <w:rPr>
          <w:rFonts w:hint="eastAsia"/>
        </w:rPr>
        <w:t xml:space="preserve"> </w:t>
      </w:r>
    </w:p>
    <w:p>
      <w:pPr>
        <w:pStyle w:val="23"/>
        <w:spacing w:before="72" w:after="72"/>
        <w:rPr>
          <w:lang w:val="en-US"/>
        </w:rPr>
      </w:pPr>
      <w:r>
        <w:rPr>
          <w:rFonts w:hint="eastAsia"/>
          <w:lang w:val="en-US"/>
        </w:rPr>
        <w:t xml:space="preserve"> </w:t>
      </w:r>
      <w:bookmarkStart w:id="145" w:name="_Toc13540"/>
      <w:bookmarkStart w:id="146" w:name="_Toc4048"/>
      <w:bookmarkStart w:id="147" w:name="_Toc87"/>
      <w:bookmarkStart w:id="148" w:name="_Toc20622"/>
      <w:r>
        <w:rPr>
          <w:rFonts w:hint="eastAsia"/>
          <w:lang w:val="en-US"/>
        </w:rPr>
        <w:t>RAN1 concludes the pros and cons of supporting “proprietary model” and “open-format model”. Then, RAN1 should send LS to other working groups (e.g., RAN2 and SA2) to check the feasibility of supporting open-format models.</w:t>
      </w:r>
      <w:bookmarkEnd w:id="145"/>
      <w:bookmarkEnd w:id="146"/>
      <w:bookmarkEnd w:id="147"/>
      <w:bookmarkEnd w:id="148"/>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rFonts w:eastAsia="等线"/>
                <w:b/>
                <w:u w:val="single"/>
              </w:rPr>
            </w:pPr>
            <w:r>
              <w:rPr>
                <w:rFonts w:hint="eastAsia" w:eastAsia="等线"/>
                <w:b/>
                <w:u w:val="single"/>
              </w:rPr>
              <w:t>A</w:t>
            </w:r>
            <w:r>
              <w:rPr>
                <w:rFonts w:eastAsia="等线"/>
                <w:b/>
                <w:u w:val="single"/>
              </w:rPr>
              <w:t>greement</w:t>
            </w:r>
            <w:r>
              <w:rPr>
                <w:rFonts w:hint="eastAsia" w:eastAsia="等线"/>
                <w:b/>
                <w:u w:val="single"/>
              </w:rPr>
              <w:t>:</w:t>
            </w:r>
          </w:p>
          <w:p>
            <w:pPr>
              <w:widowControl/>
              <w:spacing w:before="72" w:beforeLines="30" w:after="72" w:afterLines="30" w:line="288" w:lineRule="auto"/>
              <w:rPr>
                <w:bCs/>
              </w:rPr>
            </w:pPr>
            <w:r>
              <w:rPr>
                <w:bCs/>
              </w:rPr>
              <w:t xml:space="preserve">To facilitate the discussion, consider at least the following Cases for model delivery/transfer to UE, training location, and model delivery/transfer format combinations for UE-side models and UE-part of two-sided models. </w:t>
            </w:r>
          </w:p>
          <w:p>
            <w:pPr>
              <w:widowControl/>
              <w:spacing w:before="72" w:beforeLines="30" w:after="72" w:afterLines="30" w:line="288" w:lineRule="auto"/>
              <w:rPr>
                <w:bCs/>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3816"/>
              <w:gridCol w:w="2190"/>
              <w:gridCol w:w="2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Case</w:t>
                  </w:r>
                </w:p>
              </w:tc>
              <w:tc>
                <w:tcPr>
                  <w:tcW w:w="3924" w:type="dxa"/>
                  <w:shd w:val="clear" w:color="auto" w:fill="auto"/>
                </w:tcPr>
                <w:p>
                  <w:pPr>
                    <w:spacing w:before="72" w:beforeLines="30" w:after="72" w:afterLines="30" w:line="288" w:lineRule="auto"/>
                    <w:rPr>
                      <w:bCs/>
                    </w:rPr>
                  </w:pPr>
                  <w:r>
                    <w:rPr>
                      <w:bCs/>
                    </w:rPr>
                    <w:t>Model delivery/transfer</w:t>
                  </w:r>
                </w:p>
              </w:tc>
              <w:tc>
                <w:tcPr>
                  <w:tcW w:w="2250" w:type="dxa"/>
                  <w:shd w:val="clear" w:color="auto" w:fill="auto"/>
                </w:tcPr>
                <w:p>
                  <w:pPr>
                    <w:spacing w:before="72" w:beforeLines="30" w:after="72" w:afterLines="30" w:line="288" w:lineRule="auto"/>
                    <w:rPr>
                      <w:bCs/>
                    </w:rPr>
                  </w:pPr>
                  <w:r>
                    <w:rPr>
                      <w:bCs/>
                    </w:rPr>
                    <w:t>Model storage location</w:t>
                  </w:r>
                </w:p>
              </w:tc>
              <w:tc>
                <w:tcPr>
                  <w:tcW w:w="3060" w:type="dxa"/>
                  <w:shd w:val="clear" w:color="auto" w:fill="auto"/>
                </w:tcPr>
                <w:p>
                  <w:pPr>
                    <w:spacing w:before="72" w:beforeLines="30" w:after="72" w:afterLines="30" w:line="288" w:lineRule="auto"/>
                    <w:rPr>
                      <w:bCs/>
                    </w:rPr>
                  </w:pPr>
                  <w:r>
                    <w:rPr>
                      <w:bCs/>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y</w:t>
                  </w:r>
                </w:p>
              </w:tc>
              <w:tc>
                <w:tcPr>
                  <w:tcW w:w="3924" w:type="dxa"/>
                  <w:shd w:val="clear" w:color="auto" w:fill="auto"/>
                </w:tcPr>
                <w:p>
                  <w:pPr>
                    <w:spacing w:before="72" w:beforeLines="30" w:after="72" w:afterLines="30" w:line="288" w:lineRule="auto"/>
                    <w:rPr>
                      <w:bCs/>
                    </w:rPr>
                  </w:pPr>
                  <w:r>
                    <w:rPr>
                      <w:bCs/>
                    </w:rPr>
                    <w:t>model delivery (if needed) over-the-top</w:t>
                  </w:r>
                </w:p>
              </w:tc>
              <w:tc>
                <w:tcPr>
                  <w:tcW w:w="2250" w:type="dxa"/>
                  <w:shd w:val="clear" w:color="auto" w:fill="auto"/>
                </w:tcPr>
                <w:p>
                  <w:pPr>
                    <w:spacing w:before="72" w:beforeLines="30" w:after="72" w:afterLines="30" w:line="288" w:lineRule="auto"/>
                    <w:rPr>
                      <w:bCs/>
                    </w:rPr>
                  </w:pPr>
                  <w:r>
                    <w:rPr>
                      <w:bCs/>
                    </w:rPr>
                    <w:t>Outside 3gpp Network</w:t>
                  </w:r>
                </w:p>
              </w:tc>
              <w:tc>
                <w:tcPr>
                  <w:tcW w:w="3060" w:type="dxa"/>
                  <w:shd w:val="clear" w:color="auto" w:fill="auto"/>
                </w:tcPr>
                <w:p>
                  <w:pPr>
                    <w:spacing w:before="72" w:beforeLines="30" w:after="72" w:afterLines="30" w:line="288" w:lineRule="auto"/>
                    <w:rPr>
                      <w:bCs/>
                    </w:rPr>
                  </w:pPr>
                  <w:r>
                    <w:rPr>
                      <w:bCs/>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z1</w:t>
                  </w:r>
                </w:p>
              </w:tc>
              <w:tc>
                <w:tcPr>
                  <w:tcW w:w="3924" w:type="dxa"/>
                  <w:shd w:val="clear" w:color="auto" w:fill="auto"/>
                </w:tcPr>
                <w:p>
                  <w:pPr>
                    <w:spacing w:before="72" w:beforeLines="30" w:after="72" w:afterLines="30" w:line="288" w:lineRule="auto"/>
                    <w:rPr>
                      <w:bCs/>
                    </w:rPr>
                  </w:pPr>
                  <w:r>
                    <w:rPr>
                      <w:bCs/>
                    </w:rPr>
                    <w:t>model transfer in proprietary format</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z2</w:t>
                  </w:r>
                </w:p>
              </w:tc>
              <w:tc>
                <w:tcPr>
                  <w:tcW w:w="3924" w:type="dxa"/>
                  <w:shd w:val="clear" w:color="auto" w:fill="auto"/>
                </w:tcPr>
                <w:p>
                  <w:pPr>
                    <w:spacing w:before="72" w:beforeLines="30" w:after="72" w:afterLines="30" w:line="288" w:lineRule="auto"/>
                    <w:rPr>
                      <w:bCs/>
                    </w:rPr>
                  </w:pPr>
                  <w:r>
                    <w:rPr>
                      <w:bCs/>
                    </w:rPr>
                    <w:t>model transfer in proprietary format</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z3</w:t>
                  </w:r>
                </w:p>
              </w:tc>
              <w:tc>
                <w:tcPr>
                  <w:tcW w:w="3924" w:type="dxa"/>
                  <w:shd w:val="clear" w:color="auto" w:fill="auto"/>
                </w:tcPr>
                <w:p>
                  <w:pPr>
                    <w:spacing w:before="72" w:beforeLines="30" w:after="72" w:afterLines="30" w:line="288" w:lineRule="auto"/>
                    <w:rPr>
                      <w:bCs/>
                    </w:rPr>
                  </w:pPr>
                  <w:r>
                    <w:rPr>
                      <w:bCs/>
                    </w:rPr>
                    <w:t>model transfer in open format</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z4</w:t>
                  </w:r>
                </w:p>
              </w:tc>
              <w:tc>
                <w:tcPr>
                  <w:tcW w:w="3924" w:type="dxa"/>
                  <w:shd w:val="clear" w:color="auto" w:fill="auto"/>
                </w:tcPr>
                <w:p>
                  <w:pPr>
                    <w:spacing w:before="72" w:beforeLines="30" w:after="72" w:afterLines="30" w:line="288" w:lineRule="auto"/>
                    <w:rPr>
                      <w:bCs/>
                    </w:rPr>
                  </w:pPr>
                  <w:r>
                    <w:rPr>
                      <w:bCs/>
                    </w:rPr>
                    <w:t>model transfer in open format of a known model structure at UE</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spacing w:before="72" w:beforeLines="30" w:after="72" w:afterLines="30" w:line="288" w:lineRule="auto"/>
                    <w:rPr>
                      <w:bCs/>
                    </w:rPr>
                  </w:pPr>
                  <w:r>
                    <w:rPr>
                      <w:bCs/>
                    </w:rPr>
                    <w:t>z5</w:t>
                  </w:r>
                </w:p>
              </w:tc>
              <w:tc>
                <w:tcPr>
                  <w:tcW w:w="3924" w:type="dxa"/>
                  <w:shd w:val="clear" w:color="auto" w:fill="auto"/>
                </w:tcPr>
                <w:p>
                  <w:pPr>
                    <w:spacing w:before="72" w:beforeLines="30" w:after="72" w:afterLines="30" w:line="288" w:lineRule="auto"/>
                    <w:rPr>
                      <w:bCs/>
                    </w:rPr>
                  </w:pPr>
                  <w:r>
                    <w:rPr>
                      <w:bCs/>
                    </w:rPr>
                    <w:t>model transfer in open format of an unknown model structure at UE</w:t>
                  </w:r>
                </w:p>
              </w:tc>
              <w:tc>
                <w:tcPr>
                  <w:tcW w:w="2250" w:type="dxa"/>
                  <w:shd w:val="clear" w:color="auto" w:fill="auto"/>
                </w:tcPr>
                <w:p>
                  <w:pPr>
                    <w:spacing w:before="72" w:beforeLines="30" w:after="72" w:afterLines="30" w:line="288" w:lineRule="auto"/>
                    <w:rPr>
                      <w:bCs/>
                    </w:rPr>
                  </w:pPr>
                  <w:r>
                    <w:rPr>
                      <w:bCs/>
                    </w:rPr>
                    <w:t>3GPP Network</w:t>
                  </w:r>
                </w:p>
              </w:tc>
              <w:tc>
                <w:tcPr>
                  <w:tcW w:w="3060" w:type="dxa"/>
                  <w:shd w:val="clear" w:color="auto" w:fill="auto"/>
                </w:tcPr>
                <w:p>
                  <w:pPr>
                    <w:spacing w:before="72" w:beforeLines="30" w:after="72" w:afterLines="30" w:line="288" w:lineRule="auto"/>
                    <w:rPr>
                      <w:bCs/>
                    </w:rPr>
                  </w:pPr>
                  <w:r>
                    <w:rPr>
                      <w:bCs/>
                    </w:rPr>
                    <w:t>NW-side</w:t>
                  </w:r>
                </w:p>
              </w:tc>
            </w:tr>
          </w:tbl>
          <w:p>
            <w:pPr>
              <w:widowControl/>
              <w:spacing w:before="72" w:beforeLines="30" w:after="72" w:afterLines="30" w:line="288" w:lineRule="auto"/>
              <w:rPr>
                <w:bCs/>
              </w:rPr>
            </w:pPr>
            <w:r>
              <w:rPr>
                <w:bCs/>
              </w:rPr>
              <w:t>Note: The Case definition is only for the purpose of facilitating discussion and does not imply applicability, feasibility, entity mapping, architecture, signalling nor any prioritization.</w:t>
            </w:r>
          </w:p>
          <w:p>
            <w:pPr>
              <w:widowControl/>
              <w:spacing w:before="72" w:beforeLines="30" w:after="72" w:afterLines="30" w:line="288" w:lineRule="auto"/>
              <w:rPr>
                <w:bCs/>
              </w:rPr>
            </w:pPr>
            <w:r>
              <w:rPr>
                <w:bCs/>
              </w:rPr>
              <w:t>Note: The Case definition is NOT intended to introduce sub-levels of Level z.</w:t>
            </w:r>
          </w:p>
          <w:p>
            <w:pPr>
              <w:widowControl/>
              <w:spacing w:before="72" w:beforeLines="30" w:after="72" w:afterLines="30" w:line="288" w:lineRule="auto"/>
              <w:rPr>
                <w:bCs/>
              </w:rPr>
            </w:pPr>
            <w:r>
              <w:rPr>
                <w:bCs/>
              </w:rPr>
              <w:t>Note: Other cases may be included further upon interest from companies.</w:t>
            </w:r>
          </w:p>
          <w:p>
            <w:pPr>
              <w:widowControl/>
              <w:spacing w:before="72" w:beforeLines="30" w:after="72" w:afterLines="30" w:line="288" w:lineRule="auto"/>
              <w:rPr>
                <w:rFonts w:eastAsia="等线"/>
                <w:bCs/>
              </w:rPr>
            </w:pPr>
            <w:r>
              <w:rPr>
                <w:rFonts w:hint="eastAsia" w:eastAsia="等线"/>
                <w:bCs/>
              </w:rPr>
              <w:t>F</w:t>
            </w:r>
            <w:r>
              <w:rPr>
                <w:rFonts w:eastAsia="等线"/>
                <w:bCs/>
              </w:rPr>
              <w:t>FS: Z4 and Z5 boundary</w:t>
            </w:r>
          </w:p>
          <w:p>
            <w:pPr>
              <w:widowControl/>
              <w:spacing w:before="72" w:beforeLines="30" w:after="72" w:afterLines="30" w:line="288" w:lineRule="auto"/>
              <w:rPr>
                <w:rFonts w:eastAsia="等线"/>
                <w:bCs/>
              </w:rPr>
            </w:pPr>
            <w:r>
              <w:rPr>
                <w:rFonts w:eastAsia="等线"/>
                <w:bCs/>
              </w:rPr>
              <w:t xml:space="preserve"> </w:t>
            </w:r>
          </w:p>
          <w:p>
            <w:pPr>
              <w:keepNext/>
              <w:widowControl w:val="0"/>
              <w:overflowPunct w:val="0"/>
              <w:autoSpaceDE w:val="0"/>
              <w:autoSpaceDN w:val="0"/>
              <w:spacing w:before="72" w:beforeLines="30" w:after="72" w:afterLines="30" w:line="288" w:lineRule="auto"/>
              <w:ind w:left="1152" w:hanging="1152"/>
              <w:outlineLvl w:val="5"/>
              <w:rPr>
                <w:b/>
                <w:bCs/>
                <w:kern w:val="0"/>
              </w:rPr>
            </w:pPr>
            <w:r>
              <w:rPr>
                <w:b/>
                <w:bCs/>
              </w:rPr>
              <w:t>Proposal 6-19e:</w:t>
            </w:r>
          </w:p>
          <w:p>
            <w:pPr>
              <w:widowControl w:val="0"/>
              <w:spacing w:before="72" w:beforeLines="30" w:after="72" w:afterLines="30" w:line="288" w:lineRule="auto"/>
              <w:rPr>
                <w:rFonts w:eastAsiaTheme="minorEastAsia"/>
                <w:bCs/>
              </w:rPr>
            </w:pPr>
            <w:r>
              <w:rPr>
                <w:bCs/>
              </w:rPr>
              <w:t xml:space="preserve">In model delivery/transfer Case z4, the “known model structure” means an exact model structure </w:t>
            </w:r>
            <w:r>
              <w:rPr>
                <w:rFonts w:hint="eastAsia" w:eastAsia="宋体"/>
                <w:bCs/>
              </w:rPr>
              <w:t>that</w:t>
            </w:r>
            <w:r>
              <w:rPr>
                <w:bCs/>
              </w:rPr>
              <w:t xml:space="preserve"> has been previously identified between NW and UE and for which the UE has explicitly indicated its support .</w:t>
            </w:r>
          </w:p>
          <w:p>
            <w:pPr>
              <w:widowControl w:val="0"/>
              <w:spacing w:before="72" w:beforeLines="30" w:after="72" w:afterLines="30" w:line="288" w:lineRule="auto"/>
              <w:rPr>
                <w:rFonts w:eastAsiaTheme="minorEastAsia"/>
                <w:bCs/>
              </w:rPr>
            </w:pPr>
            <w:r>
              <w:rPr>
                <w:bCs/>
              </w:rPr>
              <w:t xml:space="preserve">In model delivery/transfer Case z5, the “unknown model structure” means any other model structure not covered in z4. </w:t>
            </w:r>
          </w:p>
        </w:tc>
      </w:tr>
    </w:tbl>
    <w:p>
      <w:pPr>
        <w:snapToGrid w:val="0"/>
        <w:spacing w:before="72" w:beforeLines="30" w:after="72" w:afterLines="30" w:line="288" w:lineRule="auto"/>
        <w:rPr>
          <w:rFonts w:eastAsia="微软雅黑"/>
          <w:kern w:val="0"/>
        </w:rPr>
      </w:pPr>
      <w:r>
        <w:rPr>
          <w:rFonts w:eastAsia="微软雅黑"/>
          <w:kern w:val="0"/>
        </w:rPr>
        <w:t>Depending on the entities involved to deliver AI/ML models</w:t>
      </w:r>
      <w:r>
        <w:rPr>
          <w:rFonts w:hint="eastAsia" w:eastAsia="微软雅黑"/>
          <w:kern w:val="0"/>
        </w:rPr>
        <w:t xml:space="preserve"> and model formats</w:t>
      </w:r>
      <w:r>
        <w:rPr>
          <w:rFonts w:eastAsia="微软雅黑"/>
          <w:kern w:val="0"/>
        </w:rPr>
        <w:t xml:space="preserve">, there could be different options to do the model </w:t>
      </w:r>
      <w:r>
        <w:rPr>
          <w:rFonts w:hint="eastAsia" w:eastAsia="微软雅黑"/>
          <w:kern w:val="0"/>
        </w:rPr>
        <w:t xml:space="preserve">transfer </w:t>
      </w:r>
      <w:r>
        <w:rPr>
          <w:rFonts w:eastAsia="微软雅黑"/>
          <w:kern w:val="0"/>
        </w:rPr>
        <w:t>delivery</w:t>
      </w:r>
      <w:r>
        <w:rPr>
          <w:rFonts w:hint="eastAsia" w:eastAsia="微软雅黑"/>
          <w:kern w:val="0"/>
        </w:rPr>
        <w:t xml:space="preserve"> as agreed in RAN1#112. As discussed above, the boundary between Case z4 and Case z5 depend on:</w:t>
      </w:r>
    </w:p>
    <w:p>
      <w:pPr>
        <w:numPr>
          <w:ilvl w:val="0"/>
          <w:numId w:val="25"/>
        </w:numPr>
        <w:snapToGrid w:val="0"/>
        <w:spacing w:before="72" w:beforeLines="30" w:after="72" w:afterLines="30" w:line="288" w:lineRule="auto"/>
        <w:rPr>
          <w:rFonts w:eastAsia="微软雅黑"/>
          <w:kern w:val="0"/>
        </w:rPr>
      </w:pPr>
      <w:r>
        <w:rPr>
          <w:rFonts w:hint="eastAsia" w:eastAsia="宋体"/>
          <w:kern w:val="0"/>
          <w:lang w:bidi="ar"/>
        </w:rPr>
        <w:t xml:space="preserve">Whether </w:t>
      </w:r>
      <w:r>
        <w:rPr>
          <w:rFonts w:hint="eastAsia" w:eastAsia="微软雅黑"/>
          <w:kern w:val="0"/>
        </w:rPr>
        <w:t>model structure is identified during model identification: YES-&gt;Case z4; NO-&gt;Case z5</w:t>
      </w:r>
    </w:p>
    <w:p>
      <w:pPr>
        <w:numPr>
          <w:ilvl w:val="0"/>
          <w:numId w:val="25"/>
        </w:numPr>
        <w:snapToGrid w:val="0"/>
        <w:spacing w:before="72" w:beforeLines="30" w:after="72" w:afterLines="30" w:line="288" w:lineRule="auto"/>
        <w:rPr>
          <w:rFonts w:eastAsia="微软雅黑"/>
          <w:kern w:val="0"/>
        </w:rPr>
      </w:pPr>
      <w:r>
        <w:rPr>
          <w:rFonts w:hint="eastAsia" w:eastAsia="微软雅黑"/>
          <w:kern w:val="0"/>
        </w:rPr>
        <w:t>Whether UE has reported its capability to support an identified model structure before the model transfer/delivery: YES-&gt; Case z4; NO-&gt;Case z5</w:t>
      </w:r>
    </w:p>
    <w:p>
      <w:pPr>
        <w:numPr>
          <w:ilvl w:val="0"/>
          <w:numId w:val="25"/>
        </w:numPr>
        <w:snapToGrid w:val="0"/>
        <w:spacing w:before="72" w:beforeLines="30" w:after="72" w:afterLines="30" w:line="288" w:lineRule="auto"/>
        <w:rPr>
          <w:rFonts w:eastAsia="微软雅黑"/>
          <w:kern w:val="0"/>
        </w:rPr>
      </w:pPr>
      <w:r>
        <w:rPr>
          <w:rFonts w:hint="eastAsia" w:eastAsia="微软雅黑"/>
          <w:kern w:val="0"/>
        </w:rPr>
        <w:t xml:space="preserve">Whether UE has reported its capability to perform model parameter update based on the identified model structure before the model transfer/delivery: YES-&gt;Case z4; NO-&gt;Case z5 </w:t>
      </w:r>
    </w:p>
    <w:p>
      <w:pPr>
        <w:pStyle w:val="25"/>
        <w:spacing w:before="72" w:after="72"/>
        <w:rPr>
          <w:lang w:val="en-US" w:eastAsia="zh-CN"/>
        </w:rPr>
      </w:pPr>
      <w:bookmarkStart w:id="149" w:name="_Toc18045"/>
      <w:bookmarkStart w:id="150" w:name="_Toc131690116"/>
      <w:bookmarkStart w:id="151" w:name="_Toc25028"/>
      <w:bookmarkStart w:id="152" w:name="_Toc27608"/>
      <w:r>
        <w:rPr>
          <w:rFonts w:hint="eastAsia"/>
          <w:lang w:val="en-US" w:eastAsia="zh-CN"/>
        </w:rPr>
        <w:t>Define the boundary for model transfer/delivery Case z4 and Case z5 as follows:</w:t>
      </w:r>
      <w:bookmarkEnd w:id="149"/>
      <w:bookmarkEnd w:id="150"/>
      <w:bookmarkEnd w:id="151"/>
      <w:bookmarkEnd w:id="152"/>
    </w:p>
    <w:p>
      <w:pPr>
        <w:pStyle w:val="27"/>
        <w:spacing w:before="72" w:after="72"/>
        <w:rPr>
          <w:rFonts w:eastAsia="微软雅黑"/>
          <w:kern w:val="0"/>
        </w:rPr>
      </w:pPr>
      <w:bookmarkStart w:id="153" w:name="_Toc30985"/>
      <w:bookmarkStart w:id="154" w:name="_Toc27113"/>
      <w:bookmarkStart w:id="155" w:name="_Toc20346"/>
      <w:bookmarkStart w:id="156" w:name="_Toc131690119"/>
      <w:r>
        <w:rPr>
          <w:rFonts w:hint="eastAsia"/>
        </w:rPr>
        <w:t xml:space="preserve">In model delivery/transfer Case z4, the </w:t>
      </w:r>
      <w:r>
        <w:t>“</w:t>
      </w:r>
      <w:r>
        <w:rPr>
          <w:rFonts w:hint="eastAsia"/>
        </w:rPr>
        <w:t>known model structure</w:t>
      </w:r>
      <w:r>
        <w:t>”</w:t>
      </w:r>
      <w:r>
        <w:rPr>
          <w:rFonts w:hint="eastAsia"/>
        </w:rPr>
        <w:t xml:space="preserve"> means an exact model structure that has been previously identified between NW and UE and for which the UE has explicitly indicated its support .</w:t>
      </w:r>
      <w:bookmarkEnd w:id="153"/>
      <w:bookmarkEnd w:id="154"/>
    </w:p>
    <w:bookmarkEnd w:id="155"/>
    <w:bookmarkEnd w:id="156"/>
    <w:p>
      <w:pPr>
        <w:pStyle w:val="27"/>
        <w:spacing w:before="72" w:after="72"/>
      </w:pPr>
      <w:bookmarkStart w:id="157" w:name="_Toc861"/>
      <w:bookmarkStart w:id="158" w:name="_Toc13979"/>
      <w:r>
        <w:t xml:space="preserve">In model delivery/transfer Case z5, the “unknown model structure” means any other model structure not covered in </w:t>
      </w:r>
      <w:r>
        <w:rPr>
          <w:rFonts w:hint="eastAsia"/>
        </w:rPr>
        <w:t xml:space="preserve">Case </w:t>
      </w:r>
      <w:r>
        <w:t>z4.</w:t>
      </w:r>
      <w:bookmarkEnd w:id="157"/>
      <w:bookmarkEnd w:id="158"/>
      <w:r>
        <w:t xml:space="preserve"> </w:t>
      </w:r>
    </w:p>
    <w:p>
      <w:pPr>
        <w:snapToGrid w:val="0"/>
        <w:spacing w:before="72" w:beforeLines="30" w:after="72" w:afterLines="30" w:line="288" w:lineRule="auto"/>
        <w:rPr>
          <w:rFonts w:eastAsia="微软雅黑"/>
          <w:kern w:val="0"/>
        </w:rPr>
      </w:pPr>
      <w:r>
        <w:rPr>
          <w:rFonts w:eastAsia="微软雅黑"/>
          <w:kern w:val="0"/>
        </w:rPr>
        <w:t xml:space="preserve">However, the discussion on model storage </w:t>
      </w:r>
      <w:r>
        <w:rPr>
          <w:rFonts w:hint="eastAsia" w:eastAsia="微软雅黑"/>
          <w:kern w:val="0"/>
        </w:rPr>
        <w:t xml:space="preserve">location </w:t>
      </w:r>
      <w:r>
        <w:rPr>
          <w:rFonts w:eastAsia="微软雅黑"/>
          <w:kern w:val="0"/>
        </w:rPr>
        <w:t>and delivery mechanisms falls outside the RAN1 scope, and RAN2 is expected to evaluate these options</w:t>
      </w:r>
      <w:r>
        <w:rPr>
          <w:rFonts w:hint="eastAsia" w:eastAsia="微软雅黑"/>
          <w:kern w:val="0"/>
        </w:rPr>
        <w:t xml:space="preserve"> with the RAN1 studies/agreements being taken into consideration</w:t>
      </w:r>
      <w:r>
        <w:rPr>
          <w:rFonts w:eastAsia="微软雅黑"/>
          <w:kern w:val="0"/>
        </w:rPr>
        <w:t xml:space="preserve">. In addition, RAN2 already starts their work on this issue. The following </w:t>
      </w:r>
      <w:r>
        <w:rPr>
          <w:rFonts w:hint="eastAsia" w:eastAsia="微软雅黑"/>
          <w:kern w:val="0"/>
        </w:rPr>
        <w:t>solutions</w:t>
      </w:r>
      <w:r>
        <w:rPr>
          <w:rFonts w:eastAsia="微软雅黑"/>
          <w:kern w:val="0"/>
        </w:rPr>
        <w:t xml:space="preserve"> are </w:t>
      </w:r>
      <w:r>
        <w:rPr>
          <w:rFonts w:hint="eastAsia" w:eastAsia="微软雅黑"/>
          <w:kern w:val="0"/>
        </w:rPr>
        <w:t>agreed to be further studied</w:t>
      </w:r>
      <w:r>
        <w:rPr>
          <w:rFonts w:eastAsia="微软雅黑"/>
          <w:kern w:val="0"/>
        </w:rPr>
        <w:t xml:space="preserve"> </w:t>
      </w:r>
      <w:r>
        <w:rPr>
          <w:rFonts w:hint="eastAsia" w:eastAsia="微软雅黑"/>
          <w:kern w:val="0"/>
        </w:rPr>
        <w:t>by RAN2 in RAN2#121 meeting</w:t>
      </w:r>
      <w:r>
        <w:rPr>
          <w:rFonts w:eastAsia="微软雅黑"/>
          <w:kern w:val="0"/>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0"/>
              <w:widowControl/>
              <w:numPr>
                <w:ilvl w:val="0"/>
                <w:numId w:val="0"/>
              </w:numPr>
              <w:spacing w:before="72" w:beforeLines="30" w:after="72" w:afterLines="30" w:line="288" w:lineRule="auto"/>
              <w:rPr>
                <w:u w:val="single"/>
              </w:rPr>
            </w:pPr>
            <w:r>
              <w:rPr>
                <w:rFonts w:hint="eastAsia"/>
                <w:u w:val="single"/>
              </w:rPr>
              <w:t>Agreement in RAN2#121:</w:t>
            </w:r>
          </w:p>
          <w:p>
            <w:pPr>
              <w:pStyle w:val="50"/>
              <w:widowControl/>
              <w:numPr>
                <w:ilvl w:val="0"/>
                <w:numId w:val="0"/>
              </w:numPr>
              <w:spacing w:before="72" w:beforeLines="30" w:after="72" w:afterLines="30" w:line="288" w:lineRule="auto"/>
              <w:rPr>
                <w:b w:val="0"/>
                <w:bCs/>
              </w:rPr>
            </w:pPr>
            <w:r>
              <w:rPr>
                <w:b w:val="0"/>
                <w:bCs/>
              </w:rPr>
              <w:t>Aim to at least analyze the feasibility and benefits of model/transfer solutions based on the following: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1a: gNB can transfer/deliver AI/ML model(s) to UE via RRC signalling.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2a: CN (except LMF) can transfer/deliver AI/ML model(s) to UE via NAS signalling.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3a: LMF can transfer/deliver AI/ML model(s) to UE via LPP signalling.</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1b: gNB can transfer/deliver AI/ML model(s) to UE via UP data.</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2b: CN (except LMF) can transfer/deliver AI/ML model(s) to UE via UP data.</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3b: LMF can transfer/deliver AI/ML model(s) to UE via UP data.</w:t>
            </w:r>
          </w:p>
          <w:p>
            <w:pPr>
              <w:widowControl/>
              <w:numPr>
                <w:ilvl w:val="0"/>
                <w:numId w:val="25"/>
              </w:numPr>
              <w:snapToGrid w:val="0"/>
              <w:spacing w:before="72" w:beforeLines="30" w:after="72" w:afterLines="30" w:line="288" w:lineRule="auto"/>
              <w:rPr>
                <w:rFonts w:eastAsia="宋体"/>
                <w:bCs/>
                <w:kern w:val="0"/>
                <w:lang w:bidi="ar"/>
              </w:rPr>
            </w:pPr>
            <w:r>
              <w:rPr>
                <w:rFonts w:hint="eastAsia" w:eastAsia="宋体"/>
                <w:bCs/>
                <w:kern w:val="0"/>
                <w:lang w:bidi="ar"/>
              </w:rPr>
              <w:t>Solution 4: Server (e.g. OAM, OTT) can transfer/delivery AI/ML model(s) to UE (e.g. transparent to 3GPP).</w:t>
            </w:r>
          </w:p>
          <w:p>
            <w:pPr>
              <w:widowControl/>
              <w:spacing w:before="72" w:beforeLines="30" w:after="72" w:afterLines="30" w:line="288" w:lineRule="auto"/>
              <w:rPr>
                <w:rFonts w:eastAsiaTheme="minorEastAsia"/>
                <w:bCs/>
              </w:rPr>
            </w:pPr>
          </w:p>
          <w:p>
            <w:pPr>
              <w:widowControl/>
              <w:spacing w:before="72" w:beforeLines="30" w:after="72" w:afterLines="30" w:line="288" w:lineRule="auto"/>
              <w:jc w:val="center"/>
              <w:rPr>
                <w:rFonts w:eastAsiaTheme="minorEastAsia"/>
                <w:bCs/>
              </w:rPr>
            </w:pPr>
            <w:r>
              <w:rPr>
                <w:rFonts w:eastAsiaTheme="minorEastAsia"/>
                <w:bCs/>
              </w:rPr>
              <w:t>Table: relations between solutions and use cases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eastAsiaTheme="minorEastAsia"/>
                      <w:bCs/>
                    </w:rPr>
                    <w:t>Solutions</w:t>
                  </w:r>
                </w:p>
              </w:tc>
              <w:tc>
                <w:tcPr>
                  <w:tcW w:w="6515" w:type="dxa"/>
                </w:tcPr>
                <w:p>
                  <w:pPr>
                    <w:widowControl/>
                    <w:spacing w:before="72" w:beforeLines="30" w:after="72" w:afterLines="30" w:line="288" w:lineRule="auto"/>
                    <w:rPr>
                      <w:rFonts w:eastAsiaTheme="minorEastAsia"/>
                      <w:bCs/>
                    </w:rPr>
                  </w:pPr>
                  <w:r>
                    <w:rPr>
                      <w:rFonts w:eastAsiaTheme="minorEastAsia"/>
                      <w:bCs/>
                    </w:rPr>
                    <w:t>Applicable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hint="eastAsia" w:eastAsiaTheme="minorEastAsia"/>
                      <w:bCs/>
                    </w:rPr>
                    <w:t>S</w:t>
                  </w:r>
                  <w:r>
                    <w:rPr>
                      <w:rFonts w:eastAsiaTheme="minorEastAsia"/>
                      <w:bCs/>
                    </w:rPr>
                    <w:t>olution 1a, 1b</w:t>
                  </w:r>
                </w:p>
              </w:tc>
              <w:tc>
                <w:tcPr>
                  <w:tcW w:w="6515" w:type="dxa"/>
                </w:tcPr>
                <w:p>
                  <w:pPr>
                    <w:widowControl/>
                    <w:spacing w:before="72" w:beforeLines="30" w:after="72" w:afterLines="30" w:line="288" w:lineRule="auto"/>
                    <w:rPr>
                      <w:rFonts w:eastAsiaTheme="minorEastAsia"/>
                      <w:bCs/>
                    </w:rPr>
                  </w:pPr>
                  <w:r>
                    <w:rPr>
                      <w:rFonts w:eastAsiaTheme="minorEastAsia"/>
                      <w:bCs/>
                    </w:rPr>
                    <w:t>CSI feedback enhancement</w:t>
                  </w:r>
                </w:p>
                <w:p>
                  <w:pPr>
                    <w:widowControl/>
                    <w:spacing w:before="72" w:beforeLines="30" w:after="72" w:afterLines="30" w:line="288" w:lineRule="auto"/>
                    <w:rPr>
                      <w:rFonts w:eastAsiaTheme="minorEastAsia"/>
                      <w:bCs/>
                    </w:rPr>
                  </w:pPr>
                  <w:r>
                    <w:rPr>
                      <w:rFonts w:eastAsiaTheme="minorEastAsia"/>
                      <w:bCs/>
                    </w:rPr>
                    <w:t>Beam management</w:t>
                  </w:r>
                </w:p>
                <w:p>
                  <w:pPr>
                    <w:widowControl/>
                    <w:spacing w:before="72" w:beforeLines="30" w:after="72" w:afterLines="30" w:line="288" w:lineRule="auto"/>
                    <w:rPr>
                      <w:rFonts w:eastAsiaTheme="minorEastAsia"/>
                      <w:bCs/>
                    </w:rPr>
                  </w:pPr>
                  <w:r>
                    <w:rPr>
                      <w:rFonts w:hint="eastAsia" w:eastAsiaTheme="minorEastAsia"/>
                      <w:bCs/>
                    </w:rPr>
                    <w:t>N</w:t>
                  </w:r>
                  <w:r>
                    <w:rPr>
                      <w:rFonts w:eastAsiaTheme="minorEastAsia"/>
                      <w:bCs/>
                    </w:rPr>
                    <w:t>ote: No specific considerations for Positioning accuracy enhancement for Solution 1a and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eastAsiaTheme="minorEastAsia"/>
                      <w:bCs/>
                    </w:rPr>
                    <w:t>Solution 2a, 2b</w:t>
                  </w:r>
                </w:p>
              </w:tc>
              <w:tc>
                <w:tcPr>
                  <w:tcW w:w="6515" w:type="dxa"/>
                </w:tcPr>
                <w:p>
                  <w:pPr>
                    <w:widowControl/>
                    <w:spacing w:before="72" w:beforeLines="30" w:after="72" w:afterLines="30" w:line="288" w:lineRule="auto"/>
                    <w:rPr>
                      <w:rFonts w:eastAsiaTheme="minorEastAsia"/>
                      <w:bCs/>
                    </w:rPr>
                  </w:pPr>
                  <w:r>
                    <w:rPr>
                      <w:rFonts w:eastAsiaTheme="minorEastAsia"/>
                      <w:bCs/>
                    </w:rPr>
                    <w:t>CSI feedback enhancement</w:t>
                  </w:r>
                </w:p>
                <w:p>
                  <w:pPr>
                    <w:widowControl/>
                    <w:spacing w:before="72" w:beforeLines="30" w:after="72" w:afterLines="30" w:line="288" w:lineRule="auto"/>
                    <w:rPr>
                      <w:rFonts w:eastAsiaTheme="minorEastAsia"/>
                      <w:bCs/>
                    </w:rPr>
                  </w:pPr>
                  <w:r>
                    <w:rPr>
                      <w:rFonts w:eastAsiaTheme="minorEastAsia"/>
                      <w:bCs/>
                    </w:rPr>
                    <w:t>Beam management</w:t>
                  </w:r>
                </w:p>
                <w:p>
                  <w:pPr>
                    <w:widowControl/>
                    <w:spacing w:before="72" w:beforeLines="30" w:after="72" w:afterLines="30" w:line="288" w:lineRule="auto"/>
                    <w:rPr>
                      <w:rFonts w:eastAsiaTheme="minorEastAsia"/>
                      <w:bCs/>
                    </w:rPr>
                  </w:pPr>
                  <w:r>
                    <w:rPr>
                      <w:rFonts w:hint="eastAsia" w:eastAsiaTheme="minorEastAsia"/>
                      <w:bCs/>
                    </w:rPr>
                    <w:t>N</w:t>
                  </w:r>
                  <w:r>
                    <w:rPr>
                      <w:rFonts w:eastAsiaTheme="minorEastAsia"/>
                      <w:bCs/>
                    </w:rPr>
                    <w:t>ote: No specific considerations for Positioning accuracy enhancement for Solution 2a and 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hint="eastAsia" w:eastAsiaTheme="minorEastAsia"/>
                      <w:bCs/>
                    </w:rPr>
                    <w:t>S</w:t>
                  </w:r>
                  <w:r>
                    <w:rPr>
                      <w:rFonts w:eastAsiaTheme="minorEastAsia"/>
                      <w:bCs/>
                    </w:rPr>
                    <w:t>olution 3a, 3b</w:t>
                  </w:r>
                </w:p>
              </w:tc>
              <w:tc>
                <w:tcPr>
                  <w:tcW w:w="6515" w:type="dxa"/>
                </w:tcPr>
                <w:p>
                  <w:pPr>
                    <w:widowControl/>
                    <w:spacing w:before="72" w:beforeLines="30" w:after="72" w:afterLines="30" w:line="288" w:lineRule="auto"/>
                    <w:rPr>
                      <w:rFonts w:eastAsiaTheme="minorEastAsia"/>
                      <w:bCs/>
                    </w:rPr>
                  </w:pPr>
                  <w:r>
                    <w:rPr>
                      <w:rFonts w:eastAsiaTheme="minorEastAsia"/>
                      <w:bCs/>
                    </w:rPr>
                    <w:t>Positioning accuracy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Pr>
                <w:p>
                  <w:pPr>
                    <w:widowControl/>
                    <w:spacing w:before="72" w:beforeLines="30" w:after="72" w:afterLines="30" w:line="288" w:lineRule="auto"/>
                    <w:rPr>
                      <w:rFonts w:eastAsiaTheme="minorEastAsia"/>
                      <w:bCs/>
                    </w:rPr>
                  </w:pPr>
                  <w:r>
                    <w:rPr>
                      <w:rFonts w:eastAsiaTheme="minorEastAsia"/>
                      <w:bCs/>
                    </w:rPr>
                    <w:t>Solution 4</w:t>
                  </w:r>
                </w:p>
              </w:tc>
              <w:tc>
                <w:tcPr>
                  <w:tcW w:w="6515" w:type="dxa"/>
                </w:tcPr>
                <w:p>
                  <w:pPr>
                    <w:widowControl/>
                    <w:spacing w:before="72" w:beforeLines="30" w:after="72" w:afterLines="30" w:line="288" w:lineRule="auto"/>
                    <w:rPr>
                      <w:rFonts w:eastAsiaTheme="minorEastAsia"/>
                      <w:bCs/>
                    </w:rPr>
                  </w:pPr>
                  <w:r>
                    <w:rPr>
                      <w:rFonts w:eastAsiaTheme="minorEastAsia"/>
                      <w:bCs/>
                    </w:rPr>
                    <w:t>CSI feedback enhancement</w:t>
                  </w:r>
                </w:p>
                <w:p>
                  <w:pPr>
                    <w:widowControl/>
                    <w:spacing w:before="72" w:beforeLines="30" w:after="72" w:afterLines="30" w:line="288" w:lineRule="auto"/>
                    <w:rPr>
                      <w:rFonts w:eastAsiaTheme="minorEastAsia"/>
                      <w:bCs/>
                    </w:rPr>
                  </w:pPr>
                  <w:r>
                    <w:rPr>
                      <w:rFonts w:eastAsiaTheme="minorEastAsia"/>
                      <w:bCs/>
                    </w:rPr>
                    <w:t>Beam management</w:t>
                  </w:r>
                </w:p>
                <w:p>
                  <w:pPr>
                    <w:widowControl/>
                    <w:spacing w:before="72" w:beforeLines="30" w:after="72" w:afterLines="30" w:line="288" w:lineRule="auto"/>
                    <w:rPr>
                      <w:rFonts w:eastAsiaTheme="minorEastAsia"/>
                      <w:bCs/>
                    </w:rPr>
                  </w:pPr>
                  <w:r>
                    <w:rPr>
                      <w:rFonts w:eastAsiaTheme="minorEastAsia"/>
                      <w:bCs/>
                    </w:rPr>
                    <w:t>Positioning accuracy enhancement</w:t>
                  </w:r>
                </w:p>
              </w:tc>
            </w:tr>
          </w:tbl>
          <w:p>
            <w:pPr>
              <w:pStyle w:val="50"/>
              <w:widowControl/>
              <w:numPr>
                <w:ilvl w:val="0"/>
                <w:numId w:val="0"/>
              </w:numPr>
              <w:spacing w:before="72" w:beforeLines="30" w:after="72" w:afterLines="30" w:line="288" w:lineRule="auto"/>
              <w:jc w:val="left"/>
              <w:rPr>
                <w:rFonts w:eastAsia="微软雅黑"/>
                <w:kern w:val="0"/>
              </w:rPr>
            </w:pPr>
            <w:r>
              <w:rPr>
                <w:b w:val="0"/>
                <w:bCs/>
              </w:rPr>
              <w:t>Note: the solutions use case relation is preliminary (work in progress), and the purpose is to have better understanding on what to further analyse</w:t>
            </w:r>
          </w:p>
        </w:tc>
      </w:tr>
    </w:tbl>
    <w:p>
      <w:pPr>
        <w:snapToGrid w:val="0"/>
        <w:spacing w:before="72" w:beforeLines="30" w:after="72" w:afterLines="30" w:line="288" w:lineRule="auto"/>
        <w:jc w:val="left"/>
        <w:rPr>
          <w:rFonts w:eastAsia="微软雅黑"/>
          <w:kern w:val="0"/>
        </w:rPr>
      </w:pPr>
      <w:r>
        <w:rPr>
          <w:rFonts w:eastAsia="微软雅黑"/>
          <w:kern w:val="0"/>
        </w:rPr>
        <w:t xml:space="preserve">Therefore, </w:t>
      </w:r>
      <w:r>
        <w:rPr>
          <w:rFonts w:hint="eastAsia" w:eastAsia="微软雅黑"/>
          <w:kern w:val="0"/>
        </w:rPr>
        <w:t xml:space="preserve">the </w:t>
      </w:r>
      <w:r>
        <w:rPr>
          <w:rFonts w:eastAsia="微软雅黑"/>
          <w:kern w:val="0"/>
        </w:rPr>
        <w:t xml:space="preserve">model delivery may be from a 3GPP entity </w:t>
      </w:r>
      <w:r>
        <w:rPr>
          <w:rFonts w:hint="eastAsia" w:eastAsia="微软雅黑"/>
          <w:kern w:val="0"/>
        </w:rPr>
        <w:t>(e.g., gNB, LMF and CN)</w:t>
      </w:r>
      <w:r>
        <w:rPr>
          <w:rFonts w:eastAsia="微软雅黑"/>
          <w:kern w:val="0"/>
        </w:rPr>
        <w:t xml:space="preserve"> or from a non-3GPP entity </w:t>
      </w:r>
      <w:r>
        <w:rPr>
          <w:rFonts w:hint="eastAsia" w:eastAsia="宋体"/>
          <w:bCs/>
          <w:kern w:val="0"/>
          <w:lang w:bidi="ar"/>
        </w:rPr>
        <w:t>(e.g. OAM, OTT)</w:t>
      </w:r>
      <w:r>
        <w:rPr>
          <w:rFonts w:eastAsia="微软雅黑"/>
          <w:kern w:val="0"/>
        </w:rPr>
        <w:t>. Different use cases may have different options to do the</w:t>
      </w:r>
      <w:r>
        <w:rPr>
          <w:rFonts w:hint="eastAsia" w:eastAsia="微软雅黑"/>
          <w:kern w:val="0"/>
        </w:rPr>
        <w:t xml:space="preserve"> model delivery. </w:t>
      </w:r>
      <w:r>
        <w:rPr>
          <w:rFonts w:eastAsia="微软雅黑"/>
          <w:kern w:val="0"/>
        </w:rPr>
        <w:t xml:space="preserve">The detailed specification impacts can be further studied by RAN2. And RAN1 can proceed </w:t>
      </w:r>
      <w:r>
        <w:rPr>
          <w:rFonts w:hint="eastAsia" w:eastAsia="微软雅黑"/>
          <w:kern w:val="0"/>
        </w:rPr>
        <w:t xml:space="preserve">current </w:t>
      </w:r>
      <w:r>
        <w:rPr>
          <w:rFonts w:eastAsia="微软雅黑"/>
          <w:kern w:val="0"/>
        </w:rPr>
        <w:t>work assuming model delivery may be from a 3GPP entity or from a non-3GPP entity.</w:t>
      </w:r>
    </w:p>
    <w:p>
      <w:pPr>
        <w:pStyle w:val="23"/>
        <w:spacing w:before="72" w:after="72"/>
        <w:rPr>
          <w:lang w:val="en-US"/>
        </w:rPr>
      </w:pPr>
      <w:r>
        <w:rPr>
          <w:rFonts w:hint="eastAsia"/>
          <w:lang w:val="en-US"/>
        </w:rPr>
        <w:t xml:space="preserve"> </w:t>
      </w:r>
      <w:bookmarkStart w:id="159" w:name="_Toc15706"/>
      <w:bookmarkStart w:id="160" w:name="_Toc3520"/>
      <w:bookmarkStart w:id="161" w:name="_Toc20011"/>
      <w:bookmarkStart w:id="162" w:name="_Toc10715"/>
      <w:r>
        <w:rPr>
          <w:rFonts w:hint="eastAsia"/>
          <w:lang w:val="en-US"/>
        </w:rPr>
        <w:t>Leave the discussion on model storage and delivery options to RAN2. RAN1 can proceed current work assuming model delivery may be from a 3GPP entity</w:t>
      </w:r>
      <w:r>
        <w:rPr>
          <w:lang w:val="en-US"/>
        </w:rPr>
        <w:t xml:space="preserve"> </w:t>
      </w:r>
      <w:r>
        <w:rPr>
          <w:rFonts w:hint="eastAsia"/>
          <w:lang w:val="en-US"/>
        </w:rPr>
        <w:t>(e.g., gNB, LMF</w:t>
      </w:r>
      <w:r>
        <w:rPr>
          <w:rFonts w:hint="eastAsia"/>
          <w:lang w:val="en-US" w:eastAsia="zh-CN"/>
        </w:rPr>
        <w:t>,</w:t>
      </w:r>
      <w:r>
        <w:rPr>
          <w:rFonts w:hint="eastAsia"/>
          <w:lang w:val="en-US"/>
        </w:rPr>
        <w:t xml:space="preserve"> and CN) or from a non-3GPP entity</w:t>
      </w:r>
      <w:r>
        <w:rPr>
          <w:lang w:val="en-US"/>
        </w:rPr>
        <w:t xml:space="preserve"> </w:t>
      </w:r>
      <w:r>
        <w:rPr>
          <w:rFonts w:hint="eastAsia"/>
          <w:lang w:val="en-US"/>
        </w:rPr>
        <w:t>(e.g.</w:t>
      </w:r>
      <w:r>
        <w:rPr>
          <w:rFonts w:hint="eastAsia"/>
          <w:lang w:val="en-US" w:eastAsia="zh-CN"/>
        </w:rPr>
        <w:t>,</w:t>
      </w:r>
      <w:r>
        <w:rPr>
          <w:rFonts w:hint="eastAsia"/>
          <w:lang w:val="en-US"/>
        </w:rPr>
        <w:t xml:space="preserve"> OAM, OTT).</w:t>
      </w:r>
      <w:bookmarkEnd w:id="159"/>
      <w:bookmarkEnd w:id="160"/>
      <w:bookmarkEnd w:id="161"/>
      <w:bookmarkEnd w:id="162"/>
    </w:p>
    <w:p>
      <w:pPr>
        <w:snapToGrid w:val="0"/>
        <w:spacing w:before="72" w:beforeLines="30" w:after="72" w:afterLines="30" w:line="288" w:lineRule="auto"/>
        <w:rPr>
          <w:rFonts w:eastAsia="宋体"/>
          <w:b/>
          <w:kern w:val="0"/>
        </w:rPr>
      </w:pPr>
    </w:p>
    <w:p>
      <w:pPr>
        <w:pStyle w:val="3"/>
        <w:spacing w:before="72" w:beforeLines="30" w:after="72" w:afterLines="30" w:line="288" w:lineRule="auto"/>
      </w:pPr>
      <w:r>
        <w:rPr>
          <w:rFonts w:hint="eastAsia"/>
        </w:rPr>
        <w:t>Performance monitoring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Batang"/>
                <w:b/>
                <w:bCs/>
                <w:kern w:val="0"/>
                <w:u w:val="single"/>
              </w:rPr>
            </w:pPr>
            <w:r>
              <w:rPr>
                <w:rFonts w:eastAsia="Batang"/>
                <w:b/>
                <w:bCs/>
                <w:kern w:val="0"/>
                <w:u w:val="single"/>
              </w:rPr>
              <w:t>Agreement</w:t>
            </w:r>
            <w:r>
              <w:rPr>
                <w:rFonts w:hint="eastAsia" w:eastAsia="Batang"/>
                <w:b/>
                <w:bCs/>
                <w:kern w:val="0"/>
                <w:u w:val="single"/>
              </w:rPr>
              <w:t xml:space="preserve"> in RAN1#110bis-e</w:t>
            </w:r>
            <w:r>
              <w:rPr>
                <w:rFonts w:eastAsia="Batang"/>
                <w:b/>
                <w:bCs/>
                <w:kern w:val="0"/>
                <w:u w:val="single"/>
              </w:rPr>
              <w:t>:</w:t>
            </w:r>
          </w:p>
          <w:p>
            <w:pPr>
              <w:spacing w:before="72" w:beforeLines="30" w:after="72" w:afterLines="30" w:line="288" w:lineRule="auto"/>
              <w:rPr>
                <w:rFonts w:eastAsia="宋体"/>
                <w:kern w:val="0"/>
              </w:rPr>
            </w:pPr>
            <w:r>
              <w:rPr>
                <w:rFonts w:eastAsia="宋体"/>
                <w:kern w:val="0"/>
              </w:rPr>
              <w:t>Study AI/ML model monitoring for at least the following purposes: model activation, deactivation, selection, switching, fallback, and update (including re-training).</w:t>
            </w:r>
          </w:p>
          <w:p>
            <w:pPr>
              <w:spacing w:before="72" w:beforeLines="30" w:after="72" w:afterLines="30" w:line="288" w:lineRule="auto"/>
              <w:rPr>
                <w:rFonts w:eastAsia="宋体"/>
                <w:kern w:val="0"/>
              </w:rPr>
            </w:pPr>
            <w:r>
              <w:rPr>
                <w:rFonts w:eastAsia="宋体"/>
                <w:kern w:val="0"/>
              </w:rPr>
              <w:t>FFS: Model selection refers to the selection of an AI/ML model among models for the same functionality. (Exact terminology to be discussed/defined)</w:t>
            </w:r>
          </w:p>
          <w:p>
            <w:pPr>
              <w:spacing w:before="72" w:beforeLines="30" w:after="72" w:afterLines="30" w:line="288" w:lineRule="auto"/>
              <w:rPr>
                <w:rFonts w:eastAsia="宋体"/>
                <w:kern w:val="0"/>
              </w:rPr>
            </w:pPr>
          </w:p>
          <w:p>
            <w:pPr>
              <w:spacing w:before="72" w:beforeLines="30" w:after="72" w:afterLines="30" w:line="288" w:lineRule="auto"/>
              <w:rPr>
                <w:rFonts w:eastAsia="Batang"/>
                <w:b/>
                <w:bCs/>
                <w:kern w:val="0"/>
                <w:u w:val="single"/>
              </w:rPr>
            </w:pPr>
            <w:r>
              <w:rPr>
                <w:rFonts w:eastAsia="Batang"/>
                <w:b/>
                <w:bCs/>
                <w:kern w:val="0"/>
                <w:u w:val="single"/>
              </w:rPr>
              <w:t>Agreement</w:t>
            </w:r>
            <w:r>
              <w:rPr>
                <w:rFonts w:hint="eastAsia" w:eastAsia="Batang"/>
                <w:b/>
                <w:bCs/>
                <w:kern w:val="0"/>
                <w:u w:val="single"/>
              </w:rPr>
              <w:t xml:space="preserve"> in RAN1#110bis-e</w:t>
            </w:r>
            <w:r>
              <w:rPr>
                <w:rFonts w:eastAsia="Batang"/>
                <w:b/>
                <w:bCs/>
                <w:kern w:val="0"/>
                <w:u w:val="single"/>
              </w:rPr>
              <w:t>:</w:t>
            </w:r>
          </w:p>
          <w:p>
            <w:pPr>
              <w:spacing w:before="72" w:beforeLines="30" w:after="72" w:afterLines="30" w:line="288" w:lineRule="auto"/>
              <w:rPr>
                <w:rFonts w:eastAsia="宋体"/>
                <w:kern w:val="0"/>
              </w:rPr>
            </w:pPr>
            <w:r>
              <w:rPr>
                <w:rFonts w:eastAsia="宋体"/>
                <w:kern w:val="0"/>
              </w:rPr>
              <w:t>Study at least the following metrics</w:t>
            </w:r>
            <w:r>
              <w:rPr>
                <w:kern w:val="0"/>
              </w:rPr>
              <w:t>/methods fo</w:t>
            </w:r>
            <w:r>
              <w:rPr>
                <w:rFonts w:eastAsia="宋体"/>
                <w:kern w:val="0"/>
              </w:rPr>
              <w:t>r AI/ML model monitoring in lifecycle management per use case:</w:t>
            </w:r>
          </w:p>
          <w:p>
            <w:pPr>
              <w:numPr>
                <w:ilvl w:val="2"/>
                <w:numId w:val="26"/>
              </w:numPr>
              <w:spacing w:before="72" w:beforeLines="30" w:after="72" w:afterLines="30" w:line="288" w:lineRule="auto"/>
              <w:rPr>
                <w:kern w:val="0"/>
              </w:rPr>
            </w:pPr>
            <w:r>
              <w:rPr>
                <w:kern w:val="0"/>
              </w:rPr>
              <w:t>Monitoring based on inference accuracy, including metrics related to intermediate KPIs</w:t>
            </w:r>
          </w:p>
          <w:p>
            <w:pPr>
              <w:numPr>
                <w:ilvl w:val="2"/>
                <w:numId w:val="26"/>
              </w:numPr>
              <w:spacing w:before="72" w:beforeLines="30" w:after="72" w:afterLines="30" w:line="288" w:lineRule="auto"/>
              <w:rPr>
                <w:kern w:val="0"/>
              </w:rPr>
            </w:pPr>
            <w:r>
              <w:rPr>
                <w:kern w:val="0"/>
              </w:rPr>
              <w:t>Monitoring based on system performance, including metrics related to system pe</w:t>
            </w:r>
            <w:r>
              <w:rPr>
                <w:rFonts w:hint="eastAsia"/>
                <w:kern w:val="0"/>
              </w:rPr>
              <w:t>r</w:t>
            </w:r>
            <w:r>
              <w:rPr>
                <w:kern w:val="0"/>
              </w:rPr>
              <w:t>formance KPIs</w:t>
            </w:r>
          </w:p>
          <w:p>
            <w:pPr>
              <w:numPr>
                <w:ilvl w:val="2"/>
                <w:numId w:val="26"/>
              </w:numPr>
              <w:spacing w:before="72" w:beforeLines="30" w:after="72" w:afterLines="30" w:line="288" w:lineRule="auto"/>
              <w:rPr>
                <w:kern w:val="0"/>
              </w:rPr>
            </w:pPr>
            <w:r>
              <w:rPr>
                <w:kern w:val="0"/>
              </w:rPr>
              <w:t>Other monitoring solutions, at least following 2 options.</w:t>
            </w:r>
          </w:p>
          <w:p>
            <w:pPr>
              <w:numPr>
                <w:ilvl w:val="3"/>
                <w:numId w:val="26"/>
              </w:numPr>
              <w:spacing w:before="72" w:beforeLines="30" w:after="72" w:afterLines="30" w:line="288" w:lineRule="auto"/>
              <w:rPr>
                <w:kern w:val="0"/>
              </w:rPr>
            </w:pPr>
            <w:r>
              <w:rPr>
                <w:kern w:val="0"/>
              </w:rPr>
              <w:t>Monitoring based on data distribution</w:t>
            </w:r>
          </w:p>
          <w:p>
            <w:pPr>
              <w:numPr>
                <w:ilvl w:val="4"/>
                <w:numId w:val="26"/>
              </w:numPr>
              <w:spacing w:before="72" w:beforeLines="30" w:after="72" w:afterLines="30" w:line="288" w:lineRule="auto"/>
              <w:rPr>
                <w:kern w:val="0"/>
              </w:rPr>
            </w:pPr>
            <w:r>
              <w:rPr>
                <w:kern w:val="0"/>
              </w:rPr>
              <w:t>Input-based: e.g., Monitoring the validity of the AI/ML input, e.g., out-of-distribution detection, drift detection of input data, or SNR, delay spread, etc.</w:t>
            </w:r>
          </w:p>
          <w:p>
            <w:pPr>
              <w:numPr>
                <w:ilvl w:val="4"/>
                <w:numId w:val="26"/>
              </w:numPr>
              <w:spacing w:before="72" w:beforeLines="30" w:after="72" w:afterLines="30" w:line="288" w:lineRule="auto"/>
              <w:rPr>
                <w:rFonts w:eastAsia="宋体"/>
                <w:kern w:val="0"/>
              </w:rPr>
            </w:pPr>
            <w:r>
              <w:rPr>
                <w:kern w:val="0"/>
              </w:rPr>
              <w:t xml:space="preserve">Output-based: </w:t>
            </w:r>
            <w:r>
              <w:rPr>
                <w:rFonts w:eastAsia="宋体"/>
                <w:kern w:val="0"/>
              </w:rPr>
              <w:t>e.g., drift detection of output data</w:t>
            </w:r>
          </w:p>
          <w:p>
            <w:pPr>
              <w:numPr>
                <w:ilvl w:val="3"/>
                <w:numId w:val="26"/>
              </w:numPr>
              <w:spacing w:before="72" w:beforeLines="30" w:after="72" w:afterLines="30" w:line="288" w:lineRule="auto"/>
              <w:rPr>
                <w:rFonts w:eastAsia="Batang"/>
                <w:kern w:val="0"/>
              </w:rPr>
            </w:pPr>
            <w:r>
              <w:rPr>
                <w:rFonts w:eastAsia="宋体"/>
                <w:kern w:val="0"/>
              </w:rPr>
              <w:t>Monitoring based on applicable condition</w:t>
            </w:r>
          </w:p>
          <w:p>
            <w:pPr>
              <w:spacing w:before="72" w:beforeLines="30" w:after="72" w:afterLines="30" w:line="288" w:lineRule="auto"/>
              <w:rPr>
                <w:rFonts w:eastAsia="宋体"/>
                <w:kern w:val="0"/>
              </w:rPr>
            </w:pPr>
            <w:r>
              <w:rPr>
                <w:rFonts w:eastAsia="宋体"/>
                <w:kern w:val="0"/>
              </w:rPr>
              <w:t>Note: Model monitoring metric calculation may be done at NW or UE</w:t>
            </w:r>
          </w:p>
          <w:p>
            <w:pPr>
              <w:spacing w:before="72" w:beforeLines="30" w:after="72" w:afterLines="30" w:line="288" w:lineRule="auto"/>
              <w:rPr>
                <w:rFonts w:eastAsia="宋体"/>
                <w:kern w:val="0"/>
              </w:rPr>
            </w:pPr>
          </w:p>
          <w:p>
            <w:pPr>
              <w:spacing w:before="72" w:beforeLines="30" w:after="72" w:afterLines="30" w:line="288" w:lineRule="auto"/>
              <w:jc w:val="left"/>
              <w:rPr>
                <w:rFonts w:eastAsia="等线"/>
                <w:b/>
                <w:bCs/>
                <w:kern w:val="0"/>
                <w:u w:val="single"/>
              </w:rPr>
            </w:pPr>
            <w:r>
              <w:rPr>
                <w:rFonts w:eastAsia="等线"/>
                <w:b/>
                <w:bCs/>
                <w:kern w:val="0"/>
                <w:u w:val="single"/>
                <w:lang w:val="en-GB"/>
              </w:rPr>
              <w:t>Agreement</w:t>
            </w:r>
            <w:r>
              <w:rPr>
                <w:rFonts w:hint="eastAsia" w:eastAsia="等线"/>
                <w:b/>
                <w:bCs/>
                <w:kern w:val="0"/>
                <w:u w:val="single"/>
              </w:rPr>
              <w:t xml:space="preserve"> in agenda item 9.2.2:</w:t>
            </w:r>
          </w:p>
          <w:p>
            <w:pPr>
              <w:spacing w:before="72" w:beforeLines="30" w:after="72" w:afterLines="30" w:line="288" w:lineRule="auto"/>
              <w:jc w:val="left"/>
              <w:rPr>
                <w:rFonts w:eastAsia="宋体"/>
                <w:kern w:val="0"/>
                <w:lang w:val="en-GB" w:eastAsia="en-US"/>
              </w:rPr>
            </w:pPr>
            <w:r>
              <w:rPr>
                <w:rFonts w:eastAsia="Malgun Gothic"/>
                <w:kern w:val="0"/>
                <w:lang w:val="en-GB" w:eastAsia="en-US"/>
              </w:rPr>
              <w:t xml:space="preserve">In CSI compression using two-sided model use case, </w:t>
            </w:r>
            <w:r>
              <w:rPr>
                <w:rFonts w:eastAsia="宋体"/>
                <w:kern w:val="0"/>
                <w:lang w:val="en-GB" w:eastAsia="en-US"/>
              </w:rPr>
              <w:t xml:space="preserve">study potential specification impact for performance monitoring including: </w:t>
            </w:r>
          </w:p>
          <w:p>
            <w:pPr>
              <w:numPr>
                <w:ilvl w:val="0"/>
                <w:numId w:val="27"/>
              </w:numPr>
              <w:overflowPunct w:val="0"/>
              <w:autoSpaceDE w:val="0"/>
              <w:autoSpaceDN w:val="0"/>
              <w:adjustRightInd w:val="0"/>
              <w:spacing w:before="72" w:beforeLines="30" w:after="72" w:afterLines="30" w:line="288" w:lineRule="auto"/>
              <w:textAlignment w:val="baseline"/>
              <w:rPr>
                <w:rFonts w:eastAsia="宋体"/>
                <w:kern w:val="0"/>
                <w:lang w:val="en-GB"/>
              </w:rPr>
            </w:pPr>
            <w:r>
              <w:rPr>
                <w:rFonts w:eastAsia="宋体"/>
                <w:kern w:val="0"/>
                <w:lang w:val="en-GB"/>
              </w:rPr>
              <w:t xml:space="preserve">NW-side performance monitoring:  NW monitors the performance and make decisions of model activation/ deactivation/updating/switching    </w:t>
            </w:r>
          </w:p>
          <w:p>
            <w:pPr>
              <w:numPr>
                <w:ilvl w:val="0"/>
                <w:numId w:val="27"/>
              </w:numPr>
              <w:overflowPunct w:val="0"/>
              <w:autoSpaceDE w:val="0"/>
              <w:autoSpaceDN w:val="0"/>
              <w:adjustRightInd w:val="0"/>
              <w:spacing w:before="72" w:beforeLines="30" w:after="72" w:afterLines="30" w:line="288" w:lineRule="auto"/>
              <w:textAlignment w:val="baseline"/>
              <w:rPr>
                <w:rFonts w:eastAsia="宋体"/>
                <w:kern w:val="0"/>
                <w:lang w:val="en-GB"/>
              </w:rPr>
            </w:pPr>
            <w:r>
              <w:rPr>
                <w:rFonts w:eastAsia="宋体"/>
                <w:kern w:val="0"/>
                <w:lang w:val="en-GB"/>
              </w:rPr>
              <w:t xml:space="preserve">UE-side performance monitoring: UE monitors the performance and reports to Network, NW makes decisions of model activation/ deactivation/updating/switching    </w:t>
            </w:r>
          </w:p>
          <w:p>
            <w:pPr>
              <w:spacing w:before="72" w:beforeLines="30" w:after="72" w:afterLines="30" w:line="288" w:lineRule="auto"/>
              <w:rPr>
                <w:rFonts w:eastAsia="宋体"/>
                <w:kern w:val="0"/>
              </w:rPr>
            </w:pPr>
          </w:p>
          <w:p>
            <w:pPr>
              <w:spacing w:before="72" w:beforeLines="30" w:after="72" w:afterLines="30" w:line="288" w:lineRule="auto"/>
              <w:jc w:val="left"/>
              <w:rPr>
                <w:rFonts w:ascii="Times" w:hAnsi="Times" w:eastAsia="Batang"/>
                <w:b/>
                <w:bCs/>
                <w:kern w:val="0"/>
                <w:u w:val="single"/>
              </w:rPr>
            </w:pPr>
            <w:r>
              <w:rPr>
                <w:rFonts w:ascii="Times" w:hAnsi="Times" w:eastAsia="Batang"/>
                <w:b/>
                <w:bCs/>
                <w:kern w:val="0"/>
                <w:u w:val="single"/>
                <w:lang w:val="en-GB"/>
              </w:rPr>
              <w:t>Agreement</w:t>
            </w:r>
            <w:r>
              <w:rPr>
                <w:rFonts w:hint="eastAsia" w:ascii="Times" w:hAnsi="Times" w:eastAsia="Batang"/>
                <w:b/>
                <w:bCs/>
                <w:kern w:val="0"/>
                <w:u w:val="single"/>
              </w:rPr>
              <w:t xml:space="preserve"> in agenda item 9.2.3:</w:t>
            </w:r>
          </w:p>
          <w:p>
            <w:pPr>
              <w:spacing w:before="72" w:beforeLines="30" w:after="72" w:afterLines="30" w:line="288" w:lineRule="auto"/>
              <w:jc w:val="left"/>
              <w:rPr>
                <w:rFonts w:ascii="Times" w:hAnsi="Times" w:eastAsia="Batang"/>
                <w:kern w:val="0"/>
                <w:lang w:val="en-GB"/>
              </w:rPr>
            </w:pPr>
            <w:r>
              <w:rPr>
                <w:rFonts w:ascii="Times" w:hAnsi="Times" w:eastAsia="Batang"/>
                <w:kern w:val="0"/>
                <w:lang w:val="en-GB"/>
              </w:rPr>
              <w:t xml:space="preserve">For BM-Case1 and BM-Case2 with a UE-side AI/ML model, study the following alternatives for model monitoring with potential down-selection: </w:t>
            </w:r>
          </w:p>
          <w:p>
            <w:pPr>
              <w:numPr>
                <w:ilvl w:val="0"/>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eastAsia="ja-JP"/>
              </w:rPr>
            </w:pPr>
            <w:r>
              <w:rPr>
                <w:rFonts w:eastAsia="MS Gothic"/>
                <w:kern w:val="0"/>
                <w:lang w:eastAsia="ja-JP"/>
              </w:rPr>
              <w:t>Atl1. UE-side Model monitoring</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 xml:space="preserve">UE monitors the performance metric(s) </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UE makes decision(s) of model selection/activation/ deactivation/switching/fallback operation</w:t>
            </w:r>
          </w:p>
          <w:p>
            <w:pPr>
              <w:numPr>
                <w:ilvl w:val="0"/>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eastAsia="ja-JP"/>
              </w:rPr>
            </w:pPr>
            <w:r>
              <w:rPr>
                <w:rFonts w:eastAsia="MS Gothic"/>
                <w:kern w:val="0"/>
                <w:lang w:eastAsia="ja-JP"/>
              </w:rPr>
              <w:t>Atl2. NW-side Model monitoring</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 xml:space="preserve">NW monitors the performance metric(s) </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NW makes decision(s) of model selection/activation/ deactivation/switching/ fallback operation</w:t>
            </w:r>
          </w:p>
          <w:p>
            <w:pPr>
              <w:numPr>
                <w:ilvl w:val="0"/>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eastAsia="ja-JP"/>
              </w:rPr>
            </w:pPr>
            <w:r>
              <w:rPr>
                <w:rFonts w:eastAsia="Yu Mincho"/>
                <w:kern w:val="0"/>
                <w:lang w:eastAsia="ja-JP"/>
              </w:rPr>
              <w:t>Alt3. Hybrid model monitoring</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Yu Mincho"/>
                <w:kern w:val="0"/>
                <w:lang w:val="en-GB" w:eastAsia="ja-JP"/>
              </w:rPr>
            </w:pPr>
            <w:r>
              <w:rPr>
                <w:rFonts w:eastAsia="Yu Mincho"/>
                <w:kern w:val="0"/>
                <w:lang w:val="en-GB" w:eastAsia="ja-JP"/>
              </w:rPr>
              <w:t xml:space="preserve">UE monitors the performance metric(s) </w:t>
            </w:r>
          </w:p>
          <w:p>
            <w:pPr>
              <w:numPr>
                <w:ilvl w:val="1"/>
                <w:numId w:val="28"/>
              </w:numPr>
              <w:overflowPunct w:val="0"/>
              <w:autoSpaceDE w:val="0"/>
              <w:autoSpaceDN w:val="0"/>
              <w:adjustRightInd w:val="0"/>
              <w:spacing w:before="72" w:beforeLines="30" w:after="72" w:afterLines="30" w:line="288" w:lineRule="auto"/>
              <w:contextualSpacing/>
              <w:jc w:val="left"/>
              <w:textAlignment w:val="baseline"/>
              <w:rPr>
                <w:rFonts w:eastAsia="宋体"/>
                <w:kern w:val="0"/>
              </w:rPr>
            </w:pPr>
            <w:r>
              <w:rPr>
                <w:rFonts w:eastAsia="Yu Mincho"/>
                <w:kern w:val="0"/>
                <w:lang w:val="en-GB" w:eastAsia="ja-JP"/>
              </w:rPr>
              <w:t>NW makes decision(s) of model selection/activation/ deactivation/switching/ fallback operation</w:t>
            </w:r>
          </w:p>
        </w:tc>
      </w:tr>
    </w:tbl>
    <w:p>
      <w:pPr>
        <w:snapToGrid w:val="0"/>
        <w:spacing w:before="72" w:beforeLines="30" w:after="72" w:afterLines="30" w:line="288" w:lineRule="auto"/>
        <w:rPr>
          <w:rFonts w:eastAsia="微软雅黑"/>
          <w:kern w:val="0"/>
        </w:rPr>
      </w:pPr>
      <w:r>
        <w:rPr>
          <w:rFonts w:hint="eastAsia" w:eastAsia="微软雅黑"/>
          <w:kern w:val="0"/>
        </w:rPr>
        <w:t xml:space="preserve">There </w:t>
      </w:r>
      <w:r>
        <w:rPr>
          <w:rFonts w:eastAsia="微软雅黑"/>
          <w:kern w:val="0"/>
        </w:rPr>
        <w:t>was</w:t>
      </w:r>
      <w:r>
        <w:rPr>
          <w:rFonts w:hint="eastAsia" w:eastAsia="微软雅黑"/>
          <w:kern w:val="0"/>
        </w:rPr>
        <w:t xml:space="preserve"> some progress on </w:t>
      </w:r>
      <w:r>
        <w:rPr>
          <w:rFonts w:hint="eastAsia" w:eastAsia="微软雅黑"/>
          <w:kern w:val="0"/>
          <w:lang w:val="en-US" w:eastAsia="zh-CN"/>
        </w:rPr>
        <w:t xml:space="preserve">performance </w:t>
      </w:r>
      <w:r>
        <w:rPr>
          <w:rFonts w:hint="eastAsia" w:eastAsia="微软雅黑"/>
          <w:kern w:val="0"/>
        </w:rPr>
        <w:t xml:space="preserve"> monitoring in agenda item 9.2.2 and 9.2.3. However, it seems that AI CSI and AI beam have different categorizations on the </w:t>
      </w:r>
      <w:r>
        <w:rPr>
          <w:rFonts w:hint="eastAsia" w:eastAsia="微软雅黑"/>
          <w:kern w:val="0"/>
          <w:lang w:val="en-US" w:eastAsia="zh-CN"/>
        </w:rPr>
        <w:t>performance</w:t>
      </w:r>
      <w:r>
        <w:rPr>
          <w:rFonts w:hint="eastAsia" w:eastAsia="微软雅黑"/>
          <w:kern w:val="0"/>
        </w:rPr>
        <w:t xml:space="preserve"> monitoring. In addition, both the agreements approved in agenda item 9.2.2 and 9.2.3 mix the </w:t>
      </w:r>
      <w:r>
        <w:rPr>
          <w:rFonts w:hint="eastAsia" w:eastAsia="微软雅黑"/>
          <w:kern w:val="0"/>
          <w:lang w:val="en-US" w:eastAsia="zh-CN"/>
        </w:rPr>
        <w:t>performance</w:t>
      </w:r>
      <w:r>
        <w:rPr>
          <w:rFonts w:hint="eastAsia" w:eastAsia="微软雅黑"/>
          <w:kern w:val="0"/>
        </w:rPr>
        <w:t xml:space="preserve"> monitoring with the selection/activation/deactivation/switching/fallback operation. To our understanding, it has different procedures for the </w:t>
      </w:r>
      <w:r>
        <w:rPr>
          <w:rFonts w:hint="eastAsia" w:eastAsia="微软雅黑"/>
          <w:kern w:val="0"/>
          <w:lang w:val="en-US" w:eastAsia="zh-CN"/>
        </w:rPr>
        <w:t>performance</w:t>
      </w:r>
      <w:r>
        <w:rPr>
          <w:rFonts w:hint="eastAsia" w:eastAsia="微软雅黑"/>
          <w:kern w:val="0"/>
        </w:rPr>
        <w:t xml:space="preserve"> monitoring and the model selection/activation/ deactivation/switching/fallback operation. </w:t>
      </w:r>
      <w:r>
        <w:rPr>
          <w:rFonts w:eastAsia="微软雅黑"/>
          <w:kern w:val="0"/>
        </w:rPr>
        <w:t xml:space="preserve">At least for UE-side/part model, </w:t>
      </w:r>
      <w:r>
        <w:rPr>
          <w:rFonts w:hint="eastAsia" w:eastAsia="微软雅黑"/>
          <w:kern w:val="0"/>
        </w:rPr>
        <w:t>the discussion on specification impacts</w:t>
      </w:r>
      <w:r>
        <w:rPr>
          <w:rFonts w:eastAsia="微软雅黑"/>
          <w:kern w:val="0"/>
        </w:rPr>
        <w:t xml:space="preserve"> </w:t>
      </w:r>
      <w:r>
        <w:rPr>
          <w:rFonts w:hint="eastAsia" w:eastAsia="微软雅黑"/>
          <w:kern w:val="0"/>
        </w:rPr>
        <w:t>should focus</w:t>
      </w:r>
      <w:r>
        <w:rPr>
          <w:rFonts w:eastAsia="微软雅黑"/>
          <w:kern w:val="0"/>
        </w:rPr>
        <w:t xml:space="preserve"> on which side </w:t>
      </w:r>
      <w:r>
        <w:rPr>
          <w:rFonts w:hint="eastAsia" w:eastAsia="微软雅黑"/>
          <w:kern w:val="0"/>
        </w:rPr>
        <w:t>to calculate the</w:t>
      </w:r>
      <w:r>
        <w:rPr>
          <w:rFonts w:eastAsia="微软雅黑"/>
          <w:kern w:val="0"/>
        </w:rPr>
        <w:t xml:space="preserve"> model monitoring metrics and whether the monitoring metrics </w:t>
      </w:r>
      <w:r>
        <w:rPr>
          <w:rFonts w:hint="eastAsia" w:eastAsia="微软雅黑"/>
          <w:kern w:val="0"/>
          <w:lang w:val="en-US" w:eastAsia="zh-CN"/>
        </w:rPr>
        <w:t xml:space="preserve">are </w:t>
      </w:r>
      <w:r>
        <w:rPr>
          <w:rFonts w:eastAsia="微软雅黑"/>
          <w:kern w:val="0"/>
        </w:rPr>
        <w:t>reported</w:t>
      </w:r>
      <w:r>
        <w:rPr>
          <w:rFonts w:hint="eastAsia" w:eastAsia="微软雅黑"/>
          <w:kern w:val="0"/>
        </w:rPr>
        <w:t xml:space="preserve">. Depending on the outcome of </w:t>
      </w:r>
      <w:r>
        <w:rPr>
          <w:rFonts w:hint="eastAsia" w:eastAsia="微软雅黑"/>
          <w:kern w:val="0"/>
          <w:lang w:val="en-US" w:eastAsia="zh-CN"/>
        </w:rPr>
        <w:t xml:space="preserve">performacne </w:t>
      </w:r>
      <w:r>
        <w:rPr>
          <w:rFonts w:hint="eastAsia" w:eastAsia="微软雅黑"/>
          <w:kern w:val="0"/>
        </w:rPr>
        <w:t xml:space="preserve">monitoring, UE/network can decide </w:t>
      </w:r>
      <w:r>
        <w:rPr>
          <w:rFonts w:eastAsia="微软雅黑"/>
          <w:kern w:val="0"/>
          <w:lang w:val="en-GB" w:eastAsia="en-US"/>
        </w:rPr>
        <w:t>whether and how to do follow-up operations</w:t>
      </w:r>
      <w:r>
        <w:rPr>
          <w:rFonts w:hint="eastAsia" w:eastAsia="微软雅黑"/>
          <w:kern w:val="0"/>
        </w:rPr>
        <w:t xml:space="preserve">. Therefore, the </w:t>
      </w:r>
      <w:r>
        <w:rPr>
          <w:rFonts w:hint="eastAsia" w:eastAsia="微软雅黑"/>
          <w:kern w:val="0"/>
          <w:lang w:val="en-US" w:eastAsia="zh-CN"/>
        </w:rPr>
        <w:t>functionality/model</w:t>
      </w:r>
      <w:r>
        <w:rPr>
          <w:rFonts w:hint="eastAsia" w:eastAsia="微软雅黑"/>
          <w:kern w:val="0"/>
        </w:rPr>
        <w:t xml:space="preserve"> selection/activation/deactivation/switching/fallback operation should be discussed separately from the </w:t>
      </w:r>
      <w:r>
        <w:rPr>
          <w:rFonts w:hint="eastAsia" w:eastAsia="微软雅黑"/>
          <w:kern w:val="0"/>
          <w:lang w:val="en-US" w:eastAsia="zh-CN"/>
        </w:rPr>
        <w:t xml:space="preserve">performance </w:t>
      </w:r>
      <w:r>
        <w:rPr>
          <w:rFonts w:hint="eastAsia" w:eastAsia="微软雅黑"/>
          <w:kern w:val="0"/>
        </w:rPr>
        <w:t xml:space="preserve">monitoring. </w:t>
      </w:r>
    </w:p>
    <w:p>
      <w:pPr>
        <w:pStyle w:val="23"/>
        <w:spacing w:before="72" w:after="72"/>
        <w:rPr>
          <w:lang w:val="en-US"/>
        </w:rPr>
      </w:pPr>
      <w:bookmarkStart w:id="163" w:name="_Hlk127436789"/>
      <w:r>
        <w:rPr>
          <w:rFonts w:hint="eastAsia"/>
          <w:lang w:val="en-US"/>
        </w:rPr>
        <w:t xml:space="preserve"> </w:t>
      </w:r>
      <w:bookmarkStart w:id="164" w:name="_Toc15898"/>
      <w:bookmarkStart w:id="165" w:name="_Toc24888"/>
      <w:bookmarkStart w:id="166" w:name="_Toc1019"/>
      <w:bookmarkStart w:id="167" w:name="_Toc19862"/>
      <w:r>
        <w:rPr>
          <w:rFonts w:hint="eastAsia"/>
          <w:lang w:val="en-US"/>
        </w:rPr>
        <w:t>Model/functionality selection, activation, deactivation, switching and fallback operation</w:t>
      </w:r>
      <w:r>
        <w:rPr>
          <w:lang w:val="en-US"/>
        </w:rPr>
        <w:t xml:space="preserve"> </w:t>
      </w:r>
      <w:r>
        <w:rPr>
          <w:rFonts w:hint="eastAsia"/>
          <w:lang w:val="en-US"/>
        </w:rPr>
        <w:t>should</w:t>
      </w:r>
      <w:r>
        <w:rPr>
          <w:lang w:val="en-US"/>
        </w:rPr>
        <w:t xml:space="preserve"> be </w:t>
      </w:r>
      <w:r>
        <w:rPr>
          <w:rFonts w:hint="eastAsia"/>
          <w:lang w:val="en-US"/>
        </w:rPr>
        <w:t>discussed separately from performance monitoring.</w:t>
      </w:r>
      <w:bookmarkEnd w:id="164"/>
      <w:bookmarkEnd w:id="165"/>
      <w:bookmarkEnd w:id="166"/>
      <w:bookmarkEnd w:id="167"/>
      <w:r>
        <w:rPr>
          <w:rFonts w:hint="eastAsia"/>
          <w:lang w:val="en-US"/>
        </w:rPr>
        <w:t xml:space="preserve"> </w:t>
      </w:r>
    </w:p>
    <w:bookmarkEnd w:id="163"/>
    <w:p>
      <w:pPr>
        <w:snapToGrid w:val="0"/>
        <w:spacing w:before="72" w:beforeLines="30" w:after="72" w:afterLines="30" w:line="288" w:lineRule="auto"/>
        <w:rPr>
          <w:rFonts w:eastAsia="微软雅黑"/>
          <w:kern w:val="0"/>
        </w:rPr>
      </w:pPr>
      <w:r>
        <w:rPr>
          <w:rFonts w:hint="eastAsia" w:eastAsia="微软雅黑"/>
          <w:kern w:val="0"/>
        </w:rPr>
        <w:t xml:space="preserve">With above discussions, we propose to have a high-level categorization on the </w:t>
      </w:r>
      <w:r>
        <w:rPr>
          <w:rFonts w:hint="eastAsia" w:eastAsia="微软雅黑"/>
          <w:kern w:val="0"/>
          <w:lang w:val="en-US" w:eastAsia="zh-CN"/>
        </w:rPr>
        <w:t>performance</w:t>
      </w:r>
      <w:r>
        <w:rPr>
          <w:rFonts w:hint="eastAsia" w:eastAsia="微软雅黑"/>
          <w:kern w:val="0"/>
        </w:rPr>
        <w:t xml:space="preserve"> monitoring in this agenda for UE-side or UE-part model:</w:t>
      </w:r>
    </w:p>
    <w:p>
      <w:pPr>
        <w:numPr>
          <w:ilvl w:val="0"/>
          <w:numId w:val="13"/>
        </w:numPr>
        <w:snapToGrid w:val="0"/>
        <w:spacing w:before="72" w:beforeLines="30" w:after="72" w:afterLines="30" w:line="288" w:lineRule="auto"/>
        <w:rPr>
          <w:rFonts w:eastAsia="微软雅黑"/>
          <w:kern w:val="0"/>
        </w:rPr>
      </w:pPr>
      <w:r>
        <w:rPr>
          <w:rFonts w:eastAsia="微软雅黑"/>
          <w:kern w:val="0"/>
        </w:rPr>
        <w:t>UE</w:t>
      </w:r>
      <w:r>
        <w:rPr>
          <w:rFonts w:hint="eastAsia" w:eastAsia="微软雅黑"/>
          <w:kern w:val="0"/>
        </w:rPr>
        <w:t>-side</w:t>
      </w:r>
      <w:r>
        <w:rPr>
          <w:rFonts w:eastAsia="微软雅黑"/>
          <w:kern w:val="0"/>
        </w:rPr>
        <w:t xml:space="preserve"> </w:t>
      </w:r>
      <w:r>
        <w:rPr>
          <w:rFonts w:hint="eastAsia" w:eastAsia="微软雅黑"/>
          <w:kern w:val="0"/>
        </w:rPr>
        <w:t xml:space="preserve">performance </w:t>
      </w:r>
      <w:r>
        <w:rPr>
          <w:rFonts w:eastAsia="微软雅黑"/>
          <w:kern w:val="0"/>
        </w:rPr>
        <w:t>monitoring: monitoring metrics are calculated by UE, and the monitoring metrics are not reported to network side.</w:t>
      </w:r>
    </w:p>
    <w:p>
      <w:pPr>
        <w:numPr>
          <w:ilvl w:val="0"/>
          <w:numId w:val="13"/>
        </w:numPr>
        <w:snapToGrid w:val="0"/>
        <w:spacing w:before="72" w:beforeLines="30" w:after="72" w:afterLines="30" w:line="288" w:lineRule="auto"/>
        <w:rPr>
          <w:rFonts w:eastAsia="微软雅黑"/>
          <w:kern w:val="0"/>
        </w:rPr>
      </w:pPr>
      <w:r>
        <w:rPr>
          <w:rFonts w:eastAsia="微软雅黑"/>
          <w:kern w:val="0"/>
        </w:rPr>
        <w:t>Network</w:t>
      </w:r>
      <w:r>
        <w:rPr>
          <w:rFonts w:hint="eastAsia" w:eastAsia="微软雅黑"/>
          <w:kern w:val="0"/>
        </w:rPr>
        <w:t>-side</w:t>
      </w:r>
      <w:r>
        <w:rPr>
          <w:rFonts w:eastAsia="微软雅黑"/>
          <w:kern w:val="0"/>
        </w:rPr>
        <w:t xml:space="preserve"> </w:t>
      </w:r>
      <w:r>
        <w:rPr>
          <w:rFonts w:hint="eastAsia" w:eastAsia="微软雅黑"/>
          <w:kern w:val="0"/>
        </w:rPr>
        <w:t>performance</w:t>
      </w:r>
      <w:r>
        <w:rPr>
          <w:rFonts w:eastAsia="微软雅黑"/>
          <w:kern w:val="0"/>
        </w:rPr>
        <w:t xml:space="preserve"> monitoring:</w:t>
      </w:r>
      <w:r>
        <w:rPr>
          <w:rFonts w:hint="eastAsia" w:eastAsia="微软雅黑"/>
          <w:kern w:val="0"/>
        </w:rPr>
        <w:t xml:space="preserve"> </w:t>
      </w:r>
      <w:r>
        <w:rPr>
          <w:rFonts w:eastAsia="微软雅黑"/>
          <w:kern w:val="0"/>
        </w:rPr>
        <w:t>monitoring metrics are calculated by network (with/without the potential to inform UE about the monitoring metrics).</w:t>
      </w:r>
    </w:p>
    <w:p>
      <w:pPr>
        <w:numPr>
          <w:ilvl w:val="0"/>
          <w:numId w:val="13"/>
        </w:numPr>
        <w:snapToGrid w:val="0"/>
        <w:spacing w:before="72" w:beforeLines="30" w:after="72" w:afterLines="30" w:line="288" w:lineRule="auto"/>
        <w:rPr>
          <w:rFonts w:eastAsia="微软雅黑"/>
          <w:kern w:val="0"/>
        </w:rPr>
      </w:pPr>
      <w:r>
        <w:rPr>
          <w:rFonts w:eastAsia="微软雅黑"/>
          <w:kern w:val="0"/>
        </w:rPr>
        <w:t xml:space="preserve">Hybrid </w:t>
      </w:r>
      <w:r>
        <w:rPr>
          <w:rFonts w:hint="eastAsia" w:eastAsia="微软雅黑"/>
          <w:kern w:val="0"/>
        </w:rPr>
        <w:t>performance</w:t>
      </w:r>
      <w:r>
        <w:rPr>
          <w:rFonts w:eastAsia="微软雅黑"/>
          <w:kern w:val="0"/>
        </w:rPr>
        <w:t xml:space="preserve"> monitoring: monitoring metrics are calculated by UE, </w:t>
      </w:r>
      <w:r>
        <w:rPr>
          <w:rFonts w:hint="eastAsia" w:eastAsia="微软雅黑"/>
          <w:kern w:val="0"/>
        </w:rPr>
        <w:t xml:space="preserve">and </w:t>
      </w:r>
      <w:r>
        <w:rPr>
          <w:rFonts w:eastAsia="微软雅黑"/>
          <w:kern w:val="0"/>
        </w:rPr>
        <w:t>then the monitoring metrics are reported to network side.</w:t>
      </w:r>
    </w:p>
    <w:p>
      <w:pPr>
        <w:snapToGrid w:val="0"/>
        <w:spacing w:before="72" w:beforeLines="30" w:after="72" w:afterLines="30" w:line="288" w:lineRule="auto"/>
        <w:rPr>
          <w:rFonts w:eastAsia="微软雅黑"/>
          <w:kern w:val="0"/>
          <w:lang w:val="en-GB" w:eastAsia="en-US"/>
        </w:rPr>
      </w:pPr>
      <w:r>
        <w:rPr>
          <w:rFonts w:hint="eastAsia" w:eastAsia="微软雅黑"/>
          <w:kern w:val="0"/>
        </w:rPr>
        <w:t xml:space="preserve">The above options have different specification impacts. </w:t>
      </w:r>
      <w:r>
        <w:rPr>
          <w:rFonts w:eastAsia="微软雅黑"/>
          <w:kern w:val="0"/>
          <w:lang w:val="en-GB" w:eastAsia="en-US"/>
        </w:rPr>
        <w:t>For UE</w:t>
      </w:r>
      <w:r>
        <w:rPr>
          <w:rFonts w:hint="eastAsia" w:eastAsia="微软雅黑"/>
          <w:kern w:val="0"/>
        </w:rPr>
        <w:t>-side performance</w:t>
      </w:r>
      <w:r>
        <w:rPr>
          <w:rFonts w:eastAsia="微软雅黑"/>
          <w:kern w:val="0"/>
          <w:lang w:val="en-GB" w:eastAsia="en-US"/>
        </w:rPr>
        <w:t xml:space="preserve"> monitoring, </w:t>
      </w:r>
      <w:r>
        <w:rPr>
          <w:rFonts w:hint="eastAsia" w:eastAsia="微软雅黑"/>
          <w:kern w:val="0"/>
        </w:rPr>
        <w:t>we should discuss how to define the monitoring metrics and how to claim an AI/ML functionality/model is no longer valid (e.g., below a threshold). F</w:t>
      </w:r>
      <w:r>
        <w:rPr>
          <w:rFonts w:eastAsia="微软雅黑"/>
          <w:kern w:val="0"/>
          <w:lang w:val="en-GB" w:eastAsia="en-US"/>
        </w:rPr>
        <w:t xml:space="preserve">or network-based </w:t>
      </w:r>
      <w:r>
        <w:rPr>
          <w:rFonts w:hint="eastAsia" w:eastAsia="微软雅黑"/>
          <w:kern w:val="0"/>
        </w:rPr>
        <w:t>performance</w:t>
      </w:r>
      <w:r>
        <w:rPr>
          <w:rFonts w:eastAsia="微软雅黑"/>
          <w:kern w:val="0"/>
          <w:lang w:val="en-GB" w:eastAsia="en-US"/>
        </w:rPr>
        <w:t xml:space="preserve"> monitoring, both ground-truth label and AI/ML based measurement results need to be reported by UE</w:t>
      </w:r>
      <w:r>
        <w:rPr>
          <w:rFonts w:hint="eastAsia" w:eastAsia="微软雅黑"/>
          <w:kern w:val="0"/>
        </w:rPr>
        <w:t xml:space="preserve"> so that </w:t>
      </w:r>
      <w:r>
        <w:rPr>
          <w:rFonts w:eastAsia="微软雅黑"/>
          <w:kern w:val="0"/>
          <w:lang w:val="en-GB" w:eastAsia="en-US"/>
        </w:rPr>
        <w:t xml:space="preserve">network </w:t>
      </w:r>
      <w:r>
        <w:rPr>
          <w:rFonts w:hint="eastAsia" w:eastAsia="微软雅黑"/>
          <w:kern w:val="0"/>
        </w:rPr>
        <w:t>can</w:t>
      </w:r>
      <w:r>
        <w:rPr>
          <w:rFonts w:eastAsia="微软雅黑"/>
          <w:kern w:val="0"/>
          <w:lang w:val="en-GB" w:eastAsia="en-US"/>
        </w:rPr>
        <w:t xml:space="preserve"> calculate</w:t>
      </w:r>
      <w:r>
        <w:rPr>
          <w:rFonts w:hint="eastAsia" w:eastAsia="微软雅黑"/>
          <w:kern w:val="0"/>
        </w:rPr>
        <w:t xml:space="preserve"> the</w:t>
      </w:r>
      <w:r>
        <w:rPr>
          <w:rFonts w:eastAsia="微软雅黑"/>
          <w:kern w:val="0"/>
          <w:lang w:val="en-GB" w:eastAsia="en-US"/>
        </w:rPr>
        <w:t xml:space="preserve"> monitoring metrics. Finally, hybrid model monitoring may require new measurement </w:t>
      </w:r>
      <w:r>
        <w:rPr>
          <w:rFonts w:hint="eastAsia" w:eastAsia="微软雅黑"/>
          <w:kern w:val="0"/>
        </w:rPr>
        <w:t xml:space="preserve">types </w:t>
      </w:r>
      <w:r>
        <w:rPr>
          <w:rFonts w:eastAsia="微软雅黑"/>
          <w:kern w:val="0"/>
          <w:lang w:val="en-GB" w:eastAsia="en-US"/>
        </w:rPr>
        <w:t>and</w:t>
      </w:r>
      <w:r>
        <w:rPr>
          <w:rFonts w:hint="eastAsia" w:eastAsia="微软雅黑"/>
          <w:kern w:val="0"/>
        </w:rPr>
        <w:t xml:space="preserve"> new</w:t>
      </w:r>
      <w:r>
        <w:rPr>
          <w:rFonts w:eastAsia="微软雅黑"/>
          <w:kern w:val="0"/>
          <w:lang w:val="en-GB" w:eastAsia="en-US"/>
        </w:rPr>
        <w:t xml:space="preserve"> report procedures for </w:t>
      </w:r>
      <w:r>
        <w:rPr>
          <w:rFonts w:hint="eastAsia" w:eastAsia="微软雅黑"/>
          <w:kern w:val="0"/>
        </w:rPr>
        <w:t xml:space="preserve">the </w:t>
      </w:r>
      <w:r>
        <w:rPr>
          <w:rFonts w:eastAsia="微软雅黑"/>
          <w:kern w:val="0"/>
          <w:lang w:val="en-GB" w:eastAsia="en-US"/>
        </w:rPr>
        <w:t xml:space="preserve">monitoring metrics. </w:t>
      </w:r>
    </w:p>
    <w:p>
      <w:pPr>
        <w:pStyle w:val="23"/>
        <w:spacing w:before="72" w:after="72"/>
        <w:rPr>
          <w:lang w:val="en-US"/>
        </w:rPr>
      </w:pPr>
      <w:r>
        <w:rPr>
          <w:lang w:val="en-US"/>
        </w:rPr>
        <w:t xml:space="preserve"> </w:t>
      </w:r>
      <w:bookmarkStart w:id="168" w:name="_Toc22808"/>
      <w:bookmarkStart w:id="169" w:name="_Toc21061"/>
      <w:bookmarkStart w:id="170" w:name="_Toc27367"/>
      <w:bookmarkStart w:id="171" w:name="_Toc10962"/>
      <w:r>
        <w:rPr>
          <w:lang w:val="en-US"/>
        </w:rPr>
        <w:t>For UE-side/part model, depending on which side</w:t>
      </w:r>
      <w:r>
        <w:rPr>
          <w:rFonts w:hint="eastAsia"/>
          <w:lang w:val="en-US"/>
        </w:rPr>
        <w:t xml:space="preserve"> to calculate</w:t>
      </w:r>
      <w:r>
        <w:rPr>
          <w:lang w:val="en-US"/>
        </w:rPr>
        <w:t xml:space="preserve"> the monitoring metrics</w:t>
      </w:r>
      <w:r>
        <w:rPr>
          <w:rFonts w:hint="eastAsia"/>
          <w:lang w:val="en-US"/>
        </w:rPr>
        <w:t xml:space="preserve"> </w:t>
      </w:r>
      <w:r>
        <w:rPr>
          <w:lang w:val="en-US"/>
        </w:rPr>
        <w:t xml:space="preserve">and whether the monitoring metrics </w:t>
      </w:r>
      <w:r>
        <w:rPr>
          <w:rFonts w:hint="eastAsia"/>
          <w:lang w:val="en-US" w:eastAsia="zh-CN"/>
        </w:rPr>
        <w:t>are</w:t>
      </w:r>
      <w:r>
        <w:rPr>
          <w:lang w:val="en-US"/>
        </w:rPr>
        <w:t xml:space="preserve"> reported, further study following options:</w:t>
      </w:r>
      <w:bookmarkEnd w:id="168"/>
      <w:bookmarkEnd w:id="169"/>
      <w:bookmarkEnd w:id="170"/>
      <w:bookmarkEnd w:id="171"/>
    </w:p>
    <w:p>
      <w:pPr>
        <w:pStyle w:val="26"/>
        <w:spacing w:before="72" w:after="72"/>
      </w:pPr>
      <w:bookmarkStart w:id="172" w:name="_Toc22238"/>
      <w:bookmarkStart w:id="173" w:name="_Toc7940"/>
      <w:bookmarkStart w:id="174" w:name="_Toc23172"/>
      <w:r>
        <w:rPr>
          <w:rFonts w:hint="eastAsia"/>
        </w:rPr>
        <w:t>UE-side performance monitoring: monitoring metrics are calculated by UE, and the monitoring metrics are not reported to network side.</w:t>
      </w:r>
      <w:bookmarkEnd w:id="172"/>
      <w:bookmarkEnd w:id="173"/>
      <w:bookmarkEnd w:id="174"/>
    </w:p>
    <w:p>
      <w:pPr>
        <w:pStyle w:val="26"/>
        <w:spacing w:before="72" w:after="72"/>
      </w:pPr>
      <w:bookmarkStart w:id="175" w:name="_Toc26274"/>
      <w:bookmarkStart w:id="176" w:name="_Toc10821"/>
      <w:bookmarkStart w:id="177" w:name="_Toc15373"/>
      <w:r>
        <w:rPr>
          <w:rFonts w:hint="eastAsia"/>
        </w:rPr>
        <w:t>Network-side performance monitoring: monitoring metrics are calculated by network (with/without the potential to inform UE about the monitoring metrics).</w:t>
      </w:r>
      <w:bookmarkEnd w:id="175"/>
      <w:bookmarkEnd w:id="176"/>
      <w:bookmarkEnd w:id="177"/>
    </w:p>
    <w:p>
      <w:pPr>
        <w:pStyle w:val="26"/>
        <w:spacing w:before="72" w:after="72"/>
      </w:pPr>
      <w:bookmarkStart w:id="178" w:name="_Toc15876"/>
      <w:bookmarkStart w:id="179" w:name="_Toc6421"/>
      <w:bookmarkStart w:id="180" w:name="_Toc4906"/>
      <w:r>
        <w:rPr>
          <w:rFonts w:hint="eastAsia"/>
        </w:rPr>
        <w:t>Hybrid performance monitoring: monitoring metrics are calculated by UE, and then the monitoring metrics are reported to network side.</w:t>
      </w:r>
      <w:bookmarkEnd w:id="178"/>
      <w:bookmarkEnd w:id="179"/>
      <w:bookmarkEnd w:id="180"/>
    </w:p>
    <w:p>
      <w:pPr>
        <w:snapToGrid w:val="0"/>
        <w:spacing w:before="72" w:beforeLines="30" w:after="72" w:afterLines="30" w:line="288" w:lineRule="auto"/>
        <w:rPr>
          <w:rFonts w:eastAsia="微软雅黑"/>
          <w:b/>
          <w:bCs/>
          <w:i/>
          <w:iCs/>
          <w:kern w:val="0"/>
        </w:rPr>
      </w:pPr>
    </w:p>
    <w:p>
      <w:pPr>
        <w:pStyle w:val="3"/>
        <w:spacing w:before="72" w:beforeLines="30" w:after="72" w:afterLines="30" w:line="288" w:lineRule="auto"/>
      </w:pPr>
      <w:r>
        <w:rPr>
          <w:rFonts w:hint="eastAsia"/>
        </w:rPr>
        <w:t>Model selection, activation, deactivation, switching and fallback</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72" w:beforeLines="30" w:after="72" w:afterLines="30" w:line="288" w:lineRule="auto"/>
              <w:rPr>
                <w:rFonts w:eastAsia="等线"/>
                <w:b/>
                <w:bCs/>
                <w:kern w:val="0"/>
                <w:u w:val="single"/>
              </w:rPr>
            </w:pPr>
            <w:r>
              <w:rPr>
                <w:rFonts w:eastAsia="等线"/>
                <w:b/>
                <w:bCs/>
                <w:kern w:val="0"/>
                <w:u w:val="single"/>
              </w:rPr>
              <w:t>Agreement</w:t>
            </w:r>
            <w:r>
              <w:rPr>
                <w:rFonts w:hint="eastAsia" w:eastAsia="等线"/>
                <w:b/>
                <w:bCs/>
                <w:kern w:val="0"/>
                <w:u w:val="single"/>
              </w:rPr>
              <w:t xml:space="preserve"> in RAN1#110bis-e</w:t>
            </w:r>
            <w:r>
              <w:rPr>
                <w:rFonts w:eastAsia="等线"/>
                <w:b/>
                <w:bCs/>
                <w:kern w:val="0"/>
                <w:u w:val="single"/>
              </w:rPr>
              <w:t>:</w:t>
            </w:r>
          </w:p>
          <w:p>
            <w:pPr>
              <w:spacing w:before="72" w:beforeLines="30" w:after="72" w:afterLines="30" w:line="288" w:lineRule="auto"/>
              <w:rPr>
                <w:rFonts w:eastAsia="宋体"/>
                <w:kern w:val="0"/>
              </w:rPr>
            </w:pPr>
            <w:r>
              <w:rPr>
                <w:rFonts w:eastAsia="宋体"/>
                <w:kern w:val="0"/>
              </w:rPr>
              <w:t>For model selection, activation, deactivation, switching, and fallback at least for UE sided models and two-sided models, study the following mechanisms:</w:t>
            </w:r>
          </w:p>
          <w:p>
            <w:pPr>
              <w:numPr>
                <w:ilvl w:val="0"/>
                <w:numId w:val="29"/>
              </w:numPr>
              <w:spacing w:before="72" w:beforeLines="30" w:after="72" w:afterLines="30" w:line="288" w:lineRule="auto"/>
              <w:rPr>
                <w:rFonts w:eastAsia="宋体"/>
                <w:kern w:val="0"/>
              </w:rPr>
            </w:pPr>
            <w:r>
              <w:rPr>
                <w:rFonts w:eastAsia="宋体"/>
                <w:kern w:val="0"/>
              </w:rPr>
              <w:t xml:space="preserve">Decision by the network </w:t>
            </w:r>
          </w:p>
          <w:p>
            <w:pPr>
              <w:numPr>
                <w:ilvl w:val="1"/>
                <w:numId w:val="29"/>
              </w:numPr>
              <w:spacing w:before="72" w:beforeLines="30" w:after="72" w:afterLines="30" w:line="288" w:lineRule="auto"/>
              <w:rPr>
                <w:rFonts w:eastAsia="宋体"/>
                <w:kern w:val="0"/>
              </w:rPr>
            </w:pPr>
            <w:r>
              <w:rPr>
                <w:rFonts w:eastAsia="宋体"/>
                <w:kern w:val="0"/>
              </w:rPr>
              <w:t>Network-initiated</w:t>
            </w:r>
          </w:p>
          <w:p>
            <w:pPr>
              <w:numPr>
                <w:ilvl w:val="1"/>
                <w:numId w:val="29"/>
              </w:numPr>
              <w:spacing w:before="72" w:beforeLines="30" w:after="72" w:afterLines="30" w:line="288" w:lineRule="auto"/>
              <w:rPr>
                <w:rFonts w:eastAsia="宋体"/>
                <w:kern w:val="0"/>
              </w:rPr>
            </w:pPr>
            <w:r>
              <w:rPr>
                <w:rFonts w:eastAsia="宋体"/>
                <w:kern w:val="0"/>
              </w:rPr>
              <w:t>UE-initiated, requested to the network</w:t>
            </w:r>
          </w:p>
          <w:p>
            <w:pPr>
              <w:numPr>
                <w:ilvl w:val="0"/>
                <w:numId w:val="29"/>
              </w:numPr>
              <w:spacing w:before="72" w:beforeLines="30" w:after="72" w:afterLines="30" w:line="288" w:lineRule="auto"/>
              <w:rPr>
                <w:rFonts w:eastAsia="宋体"/>
                <w:kern w:val="0"/>
              </w:rPr>
            </w:pPr>
            <w:r>
              <w:rPr>
                <w:rFonts w:eastAsia="宋体"/>
                <w:kern w:val="0"/>
              </w:rPr>
              <w:t>Decision by the UE</w:t>
            </w:r>
          </w:p>
          <w:p>
            <w:pPr>
              <w:numPr>
                <w:ilvl w:val="1"/>
                <w:numId w:val="29"/>
              </w:numPr>
              <w:spacing w:before="72" w:beforeLines="30" w:after="72" w:afterLines="30" w:line="288" w:lineRule="auto"/>
              <w:rPr>
                <w:rFonts w:eastAsia="宋体"/>
                <w:kern w:val="0"/>
              </w:rPr>
            </w:pPr>
            <w:r>
              <w:rPr>
                <w:rFonts w:eastAsia="宋体"/>
                <w:kern w:val="0"/>
              </w:rPr>
              <w:t>Event-triggered as configured by the network, UE’s decision is reported to network</w:t>
            </w:r>
          </w:p>
          <w:p>
            <w:pPr>
              <w:numPr>
                <w:ilvl w:val="1"/>
                <w:numId w:val="29"/>
              </w:numPr>
              <w:spacing w:before="72" w:beforeLines="30" w:after="72" w:afterLines="30" w:line="288" w:lineRule="auto"/>
              <w:rPr>
                <w:rFonts w:eastAsia="宋体"/>
                <w:kern w:val="0"/>
              </w:rPr>
            </w:pPr>
            <w:r>
              <w:rPr>
                <w:rFonts w:eastAsia="宋体"/>
                <w:kern w:val="0"/>
              </w:rPr>
              <w:t>UE-autonomous, UE’s decision is reported to the network</w:t>
            </w:r>
          </w:p>
          <w:p>
            <w:pPr>
              <w:numPr>
                <w:ilvl w:val="1"/>
                <w:numId w:val="29"/>
              </w:numPr>
              <w:spacing w:before="72" w:beforeLines="30" w:after="72" w:afterLines="30" w:line="288" w:lineRule="auto"/>
              <w:rPr>
                <w:rFonts w:eastAsia="宋体"/>
                <w:kern w:val="0"/>
              </w:rPr>
            </w:pPr>
            <w:r>
              <w:rPr>
                <w:rFonts w:eastAsia="宋体"/>
                <w:kern w:val="0"/>
              </w:rPr>
              <w:t>UE-autonomous, UE’s decision is not reported to the network</w:t>
            </w:r>
          </w:p>
          <w:p>
            <w:pPr>
              <w:spacing w:before="72" w:beforeLines="30" w:after="72" w:afterLines="30" w:line="288" w:lineRule="auto"/>
              <w:rPr>
                <w:rFonts w:eastAsia="等线"/>
                <w:kern w:val="0"/>
              </w:rPr>
            </w:pPr>
            <w:r>
              <w:rPr>
                <w:rFonts w:eastAsia="等线"/>
                <w:kern w:val="0"/>
              </w:rPr>
              <w:t>FFS: for network sided models</w:t>
            </w:r>
          </w:p>
          <w:p>
            <w:pPr>
              <w:spacing w:before="72" w:beforeLines="30" w:after="72" w:afterLines="30" w:line="288" w:lineRule="auto"/>
              <w:rPr>
                <w:rFonts w:eastAsia="等线"/>
                <w:kern w:val="0"/>
              </w:rPr>
            </w:pPr>
            <w:r>
              <w:rPr>
                <w:rFonts w:eastAsia="等线"/>
                <w:kern w:val="0"/>
              </w:rPr>
              <w:t>FFS: other mechanisms</w:t>
            </w:r>
          </w:p>
          <w:p>
            <w:pPr>
              <w:spacing w:before="72" w:beforeLines="30" w:after="72" w:afterLines="30" w:line="288" w:lineRule="auto"/>
              <w:rPr>
                <w:rFonts w:eastAsia="等线"/>
                <w:kern w:val="0"/>
              </w:rPr>
            </w:pPr>
          </w:p>
          <w:p>
            <w:pPr>
              <w:spacing w:before="72" w:beforeLines="30" w:after="72" w:afterLines="30" w:line="288" w:lineRule="auto"/>
              <w:rPr>
                <w:rFonts w:eastAsia="等线"/>
                <w:u w:val="single"/>
              </w:rPr>
            </w:pPr>
            <w:r>
              <w:rPr>
                <w:rFonts w:hint="eastAsia" w:eastAsia="等线"/>
                <w:u w:val="single"/>
              </w:rPr>
              <w:t>C</w:t>
            </w:r>
            <w:r>
              <w:rPr>
                <w:rFonts w:eastAsia="等线"/>
                <w:u w:val="single"/>
              </w:rPr>
              <w:t>onclusion</w:t>
            </w:r>
          </w:p>
          <w:p>
            <w:pPr>
              <w:spacing w:before="72" w:beforeLines="30" w:after="72" w:afterLines="30" w:line="288" w:lineRule="auto"/>
            </w:pPr>
            <w:r>
              <w:t>From RAN1 perspective, it is clarified that an AI/ML model identified by a model ID may be logical, and how it maps to physical AI/ML model(s) may be up to implementation.</w:t>
            </w:r>
          </w:p>
          <w:p>
            <w:pPr>
              <w:pStyle w:val="31"/>
              <w:numPr>
                <w:ilvl w:val="0"/>
                <w:numId w:val="21"/>
              </w:numPr>
              <w:spacing w:before="72" w:beforeLines="30" w:after="72" w:afterLines="30" w:line="288" w:lineRule="auto"/>
              <w:rPr>
                <w:rFonts w:eastAsia="等线"/>
                <w:kern w:val="0"/>
                <w:sz w:val="20"/>
                <w:szCs w:val="20"/>
              </w:rPr>
            </w:pPr>
            <w:r>
              <w:rPr>
                <w:sz w:val="20"/>
                <w:szCs w:val="20"/>
              </w:rPr>
              <w:t>When distinction is necessary for discussion purposes, companies may use the term a logical AI/ML model to refer to a model that is identified and assigned a model ID, and physical AI/ML model(s) to refer to an actual implementation of such a model.</w:t>
            </w:r>
          </w:p>
        </w:tc>
      </w:tr>
    </w:tbl>
    <w:p>
      <w:pPr>
        <w:snapToGrid w:val="0"/>
        <w:spacing w:before="72" w:beforeLines="30" w:after="72" w:afterLines="30" w:line="288" w:lineRule="auto"/>
      </w:pPr>
      <w:r>
        <w:rPr>
          <w:rFonts w:hint="eastAsia" w:eastAsia="微软雅黑"/>
          <w:kern w:val="0"/>
        </w:rPr>
        <w:t>As discussed in section 4.2, a local identifier should be assigned to a functionality/model by network. The identifier is a function unit operated at UE that is not transparent from network perspective. How to implement the physical models under the identifier is transparent to network. In addition, a</w:t>
      </w:r>
      <w:r>
        <w:rPr>
          <w:rFonts w:hint="eastAsia"/>
        </w:rPr>
        <w:t>ccording to above agreement, model selection, activation, deactivation, switching, and fallback can be decided either by network side or UE side. To our understanding, it</w:t>
      </w:r>
      <w:r>
        <w:t>’</w:t>
      </w:r>
      <w:r>
        <w:rPr>
          <w:rFonts w:hint="eastAsia"/>
        </w:rPr>
        <w:t>s risky to allow UE to decide the status at least on a function unit that is not transparent to network:</w:t>
      </w:r>
    </w:p>
    <w:p>
      <w:pPr>
        <w:numPr>
          <w:ilvl w:val="0"/>
          <w:numId w:val="25"/>
        </w:numPr>
        <w:snapToGrid w:val="0"/>
        <w:spacing w:before="72" w:beforeLines="30" w:after="72" w:afterLines="30" w:line="288" w:lineRule="auto"/>
        <w:rPr>
          <w:rFonts w:eastAsia="宋体"/>
          <w:kern w:val="0"/>
        </w:rPr>
      </w:pPr>
      <w:r>
        <w:rPr>
          <w:rFonts w:hint="eastAsia" w:eastAsia="宋体"/>
          <w:kern w:val="0"/>
        </w:rPr>
        <w:t>It</w:t>
      </w:r>
      <w:r>
        <w:rPr>
          <w:rFonts w:eastAsia="宋体"/>
          <w:kern w:val="0"/>
        </w:rPr>
        <w:t>’</w:t>
      </w:r>
      <w:r>
        <w:rPr>
          <w:rFonts w:hint="eastAsia" w:eastAsia="宋体"/>
          <w:kern w:val="0"/>
        </w:rPr>
        <w:t>s different from the legacy design principles that network should control UE</w:t>
      </w:r>
      <w:r>
        <w:rPr>
          <w:rFonts w:eastAsia="宋体"/>
          <w:kern w:val="0"/>
        </w:rPr>
        <w:t>’</w:t>
      </w:r>
      <w:r>
        <w:rPr>
          <w:rFonts w:hint="eastAsia" w:eastAsia="宋体"/>
          <w:kern w:val="0"/>
        </w:rPr>
        <w:t>s function unit;</w:t>
      </w:r>
    </w:p>
    <w:p>
      <w:pPr>
        <w:numPr>
          <w:ilvl w:val="0"/>
          <w:numId w:val="25"/>
        </w:numPr>
        <w:snapToGrid w:val="0"/>
        <w:spacing w:before="72" w:beforeLines="30" w:after="72" w:afterLines="30" w:line="288" w:lineRule="auto"/>
        <w:rPr>
          <w:rFonts w:eastAsia="宋体"/>
          <w:kern w:val="0"/>
        </w:rPr>
      </w:pPr>
      <w:r>
        <w:rPr>
          <w:rFonts w:hint="eastAsia" w:eastAsia="宋体"/>
          <w:kern w:val="0"/>
        </w:rPr>
        <w:t>It</w:t>
      </w:r>
      <w:r>
        <w:rPr>
          <w:rFonts w:eastAsia="宋体"/>
          <w:kern w:val="0"/>
        </w:rPr>
        <w:t>’</w:t>
      </w:r>
      <w:r>
        <w:rPr>
          <w:rFonts w:hint="eastAsia" w:eastAsia="宋体"/>
          <w:kern w:val="0"/>
        </w:rPr>
        <w:t>s network</w:t>
      </w:r>
      <w:r>
        <w:rPr>
          <w:rFonts w:eastAsia="宋体"/>
          <w:kern w:val="0"/>
        </w:rPr>
        <w:t>’</w:t>
      </w:r>
      <w:r>
        <w:rPr>
          <w:rFonts w:hint="eastAsia" w:eastAsia="宋体"/>
          <w:kern w:val="0"/>
        </w:rPr>
        <w:t>s responsibility to ensure the overall performance. It</w:t>
      </w:r>
      <w:r>
        <w:rPr>
          <w:rFonts w:eastAsia="宋体"/>
          <w:kern w:val="0"/>
        </w:rPr>
        <w:t>’</w:t>
      </w:r>
      <w:r>
        <w:rPr>
          <w:rFonts w:hint="eastAsia" w:eastAsia="宋体"/>
          <w:kern w:val="0"/>
        </w:rPr>
        <w:t>s easier to guarantee the network performance if the decision is indicated by network;</w:t>
      </w:r>
    </w:p>
    <w:p>
      <w:pPr>
        <w:numPr>
          <w:ilvl w:val="0"/>
          <w:numId w:val="25"/>
        </w:numPr>
        <w:snapToGrid w:val="0"/>
        <w:spacing w:before="72" w:beforeLines="30" w:after="72" w:afterLines="30" w:line="288" w:lineRule="auto"/>
        <w:rPr>
          <w:rFonts w:eastAsia="宋体"/>
          <w:kern w:val="0"/>
        </w:rPr>
      </w:pPr>
      <w:r>
        <w:rPr>
          <w:rFonts w:hint="eastAsia" w:eastAsia="宋体"/>
          <w:kern w:val="0"/>
        </w:rPr>
        <w:t>It cannot be tracked by network whether UE</w:t>
      </w:r>
      <w:r>
        <w:rPr>
          <w:rFonts w:eastAsia="宋体"/>
          <w:kern w:val="0"/>
        </w:rPr>
        <w:t>’</w:t>
      </w:r>
      <w:r>
        <w:rPr>
          <w:rFonts w:hint="eastAsia" w:eastAsia="宋体"/>
          <w:kern w:val="0"/>
        </w:rPr>
        <w:t>s performance degradation is due to UE-autonomous decision on the function unit or other influencing factors;</w:t>
      </w:r>
    </w:p>
    <w:p>
      <w:pPr>
        <w:numPr>
          <w:ilvl w:val="0"/>
          <w:numId w:val="25"/>
        </w:numPr>
        <w:snapToGrid w:val="0"/>
        <w:spacing w:before="72" w:beforeLines="30" w:after="72" w:afterLines="30" w:line="288" w:lineRule="auto"/>
        <w:rPr>
          <w:rFonts w:eastAsia="宋体"/>
          <w:kern w:val="0"/>
        </w:rPr>
      </w:pPr>
      <w:r>
        <w:rPr>
          <w:rFonts w:hint="eastAsia" w:eastAsia="宋体"/>
          <w:kern w:val="0"/>
        </w:rPr>
        <w:t>Different functionalities/models have different performances and applicable conditions. Network may need to configure different reference signals and measurement report</w:t>
      </w:r>
      <w:r>
        <w:rPr>
          <w:rFonts w:hint="eastAsia" w:eastAsia="宋体"/>
          <w:kern w:val="0"/>
          <w:lang w:val="en-US" w:eastAsia="zh-CN"/>
        </w:rPr>
        <w:t>s</w:t>
      </w:r>
      <w:r>
        <w:rPr>
          <w:rFonts w:hint="eastAsia" w:eastAsia="宋体"/>
          <w:kern w:val="0"/>
        </w:rPr>
        <w:t>, which cannot be totally transparent to NW side.</w:t>
      </w:r>
    </w:p>
    <w:p>
      <w:pPr>
        <w:pStyle w:val="23"/>
        <w:spacing w:before="72" w:after="72"/>
        <w:rPr>
          <w:lang w:val="en-US"/>
        </w:rPr>
      </w:pPr>
      <w:r>
        <w:rPr>
          <w:rFonts w:hint="eastAsia"/>
          <w:lang w:val="en-US"/>
        </w:rPr>
        <w:t xml:space="preserve"> </w:t>
      </w:r>
      <w:bookmarkStart w:id="181" w:name="_Toc23900"/>
      <w:bookmarkStart w:id="182" w:name="_Toc4685"/>
      <w:bookmarkStart w:id="183" w:name="_Toc21401"/>
      <w:bookmarkStart w:id="184" w:name="_Toc23325"/>
      <w:bookmarkStart w:id="185" w:name="_Toc9607"/>
      <w:r>
        <w:rPr>
          <w:rFonts w:hint="eastAsia"/>
          <w:lang w:val="en-US"/>
        </w:rPr>
        <w:t xml:space="preserve">Network should make final decision on </w:t>
      </w:r>
      <w:r>
        <w:rPr>
          <w:rFonts w:hint="eastAsia"/>
        </w:rPr>
        <w:t>selection, activation, deactivation, switching, and fallback</w:t>
      </w:r>
      <w:r>
        <w:rPr>
          <w:rFonts w:hint="eastAsia"/>
          <w:lang w:val="en-US" w:eastAsia="zh-CN"/>
        </w:rPr>
        <w:t xml:space="preserve"> operations of </w:t>
      </w:r>
      <w:r>
        <w:rPr>
          <w:rFonts w:hint="eastAsia"/>
          <w:lang w:val="en-US"/>
        </w:rPr>
        <w:t>the function unit (either a functionality or a model operated at UE) that is not transparent to network</w:t>
      </w:r>
      <w:bookmarkEnd w:id="181"/>
      <w:bookmarkEnd w:id="182"/>
      <w:bookmarkEnd w:id="183"/>
      <w:r>
        <w:rPr>
          <w:rFonts w:hint="eastAsia"/>
          <w:lang w:val="en-US"/>
        </w:rPr>
        <w:t>.</w:t>
      </w:r>
      <w:bookmarkEnd w:id="184"/>
      <w:bookmarkEnd w:id="185"/>
    </w:p>
    <w:p>
      <w:pPr>
        <w:snapToGrid w:val="0"/>
        <w:spacing w:before="72" w:beforeLines="30" w:after="72" w:afterLines="30" w:line="288" w:lineRule="auto"/>
        <w:rPr>
          <w:rFonts w:eastAsia="微软雅黑"/>
        </w:rPr>
      </w:pPr>
    </w:p>
    <w:p>
      <w:pPr>
        <w:pStyle w:val="3"/>
        <w:spacing w:before="72" w:beforeLines="30" w:after="72" w:afterLines="30" w:line="288" w:lineRule="auto"/>
      </w:pPr>
      <w:r>
        <w:rPr>
          <w:rFonts w:hint="eastAsia"/>
        </w:rPr>
        <w:t>Dynamic functionality/model availability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spacing w:before="72" w:beforeLines="30" w:after="72" w:afterLines="30" w:line="288" w:lineRule="auto"/>
              <w:rPr>
                <w:b/>
                <w:bCs/>
                <w:u w:val="single"/>
              </w:rPr>
            </w:pPr>
            <w:r>
              <w:rPr>
                <w:b/>
                <w:bCs/>
                <w:u w:val="single"/>
              </w:rPr>
              <w:t>Agreement</w:t>
            </w:r>
            <w:r>
              <w:rPr>
                <w:rFonts w:hint="eastAsia"/>
                <w:b/>
                <w:bCs/>
                <w:u w:val="single"/>
              </w:rPr>
              <w:t xml:space="preserve"> in RAN1#112bis-e:</w:t>
            </w:r>
          </w:p>
          <w:p>
            <w:pPr>
              <w:pStyle w:val="31"/>
              <w:widowControl/>
              <w:numPr>
                <w:ilvl w:val="0"/>
                <w:numId w:val="30"/>
              </w:numPr>
              <w:spacing w:before="72" w:beforeLines="30" w:after="72" w:afterLines="30" w:line="288" w:lineRule="auto"/>
              <w:rPr>
                <w:iCs/>
                <w:sz w:val="20"/>
                <w:szCs w:val="20"/>
              </w:rPr>
            </w:pPr>
            <w:r>
              <w:rPr>
                <w:iCs/>
                <w:sz w:val="20"/>
                <w:szCs w:val="20"/>
              </w:rPr>
              <w:t>Study necessity, mechanisms, after functionality identification, for UE to report updates on applicable functionality(es) among [configured/identified] functionality(es), where the applicable functionalities may be a subset of all [configured/identified] functionalities.</w:t>
            </w:r>
          </w:p>
          <w:p>
            <w:pPr>
              <w:pStyle w:val="31"/>
              <w:widowControl/>
              <w:numPr>
                <w:ilvl w:val="0"/>
                <w:numId w:val="30"/>
              </w:numPr>
              <w:spacing w:before="72" w:beforeLines="30" w:after="72" w:afterLines="30" w:line="288" w:lineRule="auto"/>
            </w:pPr>
            <w:r>
              <w:rPr>
                <w:iCs/>
                <w:sz w:val="20"/>
                <w:szCs w:val="20"/>
              </w:rPr>
              <w:t>Study necessity, mechanisms, after model identification, for UE to report updates on applicable UE part/UE-side model(s), where the applicable models may be a subset of all identified models.</w:t>
            </w:r>
          </w:p>
        </w:tc>
      </w:tr>
    </w:tbl>
    <w:p>
      <w:pPr>
        <w:snapToGrid w:val="0"/>
        <w:spacing w:before="72" w:beforeLines="30" w:after="72" w:afterLines="30" w:line="288" w:lineRule="auto"/>
        <w:rPr>
          <w:rFonts w:eastAsia="微软雅黑"/>
          <w:kern w:val="0"/>
        </w:rPr>
      </w:pPr>
      <w:r>
        <w:rPr>
          <w:rFonts w:hint="eastAsia" w:eastAsia="微软雅黑"/>
          <w:kern w:val="0"/>
        </w:rPr>
        <w:t xml:space="preserve">In some cases, due to power consumption limitation or scenario change, UE can send information to NW to change </w:t>
      </w:r>
      <w:r>
        <w:rPr>
          <w:rFonts w:hint="eastAsia" w:eastAsia="微软雅黑"/>
          <w:kern w:val="0"/>
          <w:lang w:val="en-US" w:eastAsia="zh-CN"/>
        </w:rPr>
        <w:t>the</w:t>
      </w:r>
      <w:r>
        <w:rPr>
          <w:rFonts w:hint="eastAsia" w:eastAsia="微软雅黑"/>
          <w:kern w:val="0"/>
        </w:rPr>
        <w:t xml:space="preserve"> status (e.g., deactivate) of a functionality or a model. As discussed in section 4.2, the functionality/model can either be reported by UE or configured by NW</w:t>
      </w:r>
      <w:r>
        <w:rPr>
          <w:rFonts w:eastAsia="微软雅黑"/>
          <w:kern w:val="0"/>
        </w:rPr>
        <w:t xml:space="preserve"> </w:t>
      </w:r>
      <w:r>
        <w:rPr>
          <w:rFonts w:hint="eastAsia" w:eastAsia="微软雅黑"/>
          <w:kern w:val="0"/>
        </w:rPr>
        <w:t>(i.e., via model transfer). A function unit either corresponding to a functionality or a model is assigned with a local identifier. From network perspective, the follow-up LCM procedures on the model or functionality should be based on the associated local identifier. Therefore, UE can indicate its applicable functionalities/models by indicating the local identifier associated with the functionalities/models.</w:t>
      </w:r>
    </w:p>
    <w:p>
      <w:pPr>
        <w:pStyle w:val="23"/>
        <w:spacing w:before="72" w:after="72"/>
        <w:rPr>
          <w:rFonts w:eastAsia="微软雅黑"/>
          <w:kern w:val="0"/>
        </w:rPr>
      </w:pPr>
      <w:bookmarkStart w:id="186" w:name="_Toc23615"/>
      <w:bookmarkStart w:id="187" w:name="_Toc14224"/>
      <w:r>
        <w:rPr>
          <w:rFonts w:hint="eastAsia"/>
          <w:lang w:val="en-US"/>
        </w:rPr>
        <w:t>UE can indicate its applicable functionalities/models by indicating the local identifier associated with the functionalities/models.</w:t>
      </w:r>
      <w:bookmarkEnd w:id="186"/>
      <w:bookmarkEnd w:id="187"/>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pPr>
        <w:pStyle w:val="11"/>
        <w:tabs>
          <w:tab w:val="right" w:pos="9660"/>
        </w:tabs>
      </w:pPr>
      <w:r>
        <w:rPr>
          <w:highlight w:val="yellow"/>
        </w:rPr>
        <w:fldChar w:fldCharType="begin"/>
      </w:r>
      <w:r>
        <w:rPr>
          <w:highlight w:val="yellow"/>
        </w:rPr>
        <w:instrText xml:space="preserve">TOC \n  \t "!ZTE-Observation-2021,1,sub-observation,2,3rd level observation,3" \h</w:instrText>
      </w:r>
      <w:r>
        <w:rPr>
          <w:highlight w:val="yellow"/>
        </w:rPr>
        <w:fldChar w:fldCharType="separate"/>
      </w:r>
      <w:r>
        <w:rPr>
          <w:highlight w:val="yellow"/>
        </w:rPr>
        <w:fldChar w:fldCharType="begin"/>
      </w:r>
      <w:r>
        <w:rPr>
          <w:highlight w:val="yellow"/>
        </w:rPr>
        <w:instrText xml:space="preserve"> HYPERLINK \l _Toc23308 </w:instrText>
      </w:r>
      <w:r>
        <w:rPr>
          <w:highlight w:val="yellow"/>
        </w:rP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1: </w:t>
      </w:r>
      <w:r>
        <w:t xml:space="preserve">For Type 3 training </w:t>
      </w:r>
      <w:r>
        <w:rPr>
          <w:rFonts w:hint="eastAsia"/>
          <w:lang w:val="en-US" w:eastAsia="zh-CN"/>
        </w:rPr>
        <w:t xml:space="preserve">collaboration </w:t>
      </w:r>
      <w:r>
        <w:t xml:space="preserve">of a two-sided model, </w:t>
      </w:r>
      <w:r>
        <w:rPr>
          <w:rFonts w:hint="eastAsia"/>
          <w:lang w:val="en-US" w:eastAsia="zh-CN"/>
        </w:rPr>
        <w:t>common understanding on the dataset used for model training is necessary, which can facilitate the pairing of CSI generation part and CSI reconstruction part.</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_Toc18139 </w:instrText>
      </w:r>
      <w:r>
        <w:rPr>
          <w:highlight w:val="yellow"/>
        </w:rP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2: </w:t>
      </w:r>
      <w:r>
        <w:rPr>
          <w:rFonts w:hint="eastAsia"/>
          <w:lang w:val="en-US" w:eastAsia="zh-CN"/>
        </w:rPr>
        <w:t>Dataset alignment between UE and network can be used for testing/monitoring the model/functionality performance.</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_Toc19604 </w:instrText>
      </w:r>
      <w:r>
        <w:rPr>
          <w:highlight w:val="yellow"/>
        </w:rPr>
        <w:fldChar w:fldCharType="separate"/>
      </w:r>
      <w:r>
        <w:rPr>
          <w:rFonts w:hint="default"/>
          <w:bCs w:val="0"/>
          <w:i/>
          <w:iCs w:val="0"/>
          <w:caps w:val="0"/>
          <w:smallCaps w:val="0"/>
          <w:strike w:val="0"/>
          <w:dstrike w:val="0"/>
          <w:vanish w:val="0"/>
          <w:spacing w:val="0"/>
          <w:position w:val="0"/>
          <w:vertAlign w:val="baseline"/>
          <w14:shadow w14:blurRad="0" w14:dist="0" w14:dir="0" w14:sx="0" w14:sy="0" w14:kx="0" w14:ky="0" w14:algn="none">
            <w14:srgbClr w14:val="000000"/>
          </w14:shadow>
        </w:rPr>
        <w:t xml:space="preserve">Observation 3: </w:t>
      </w:r>
      <w:r>
        <w:rPr>
          <w:rFonts w:hint="eastAsia"/>
          <w:lang w:val="en-US" w:eastAsia="zh-CN"/>
        </w:rPr>
        <w:t>Dataset ID can avoid sharing the proprietary information explicitly across vendors during data collection.</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_Toc8621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4: </w:t>
      </w:r>
      <w:r>
        <w:rPr>
          <w:rFonts w:hint="eastAsia"/>
          <w:lang w:val="en-US" w:eastAsia="zh-CN"/>
        </w:rPr>
        <w:t>M</w:t>
      </w:r>
      <w:r>
        <w:rPr>
          <w:lang w:val="en-US" w:eastAsia="zh-CN"/>
        </w:rPr>
        <w:t xml:space="preserve">odel identification process is to give a global ‘unique’ ID </w:t>
      </w:r>
      <w:r>
        <w:rPr>
          <w:rFonts w:hint="eastAsia"/>
          <w:lang w:val="en-US" w:eastAsia="zh-CN"/>
        </w:rPr>
        <w:t xml:space="preserve">to a model </w:t>
      </w:r>
      <w:r>
        <w:rPr>
          <w:lang w:val="en-US" w:eastAsia="zh-CN"/>
        </w:rPr>
        <w:t xml:space="preserve">so that </w:t>
      </w:r>
      <w:r>
        <w:rPr>
          <w:rFonts w:hint="eastAsia"/>
          <w:lang w:val="en-US" w:eastAsia="zh-CN"/>
        </w:rPr>
        <w:t xml:space="preserve">some </w:t>
      </w:r>
      <w:r>
        <w:rPr>
          <w:lang w:val="en-US" w:eastAsia="zh-CN"/>
        </w:rPr>
        <w:t>LCM procedures (e.g., model capability/availability report, model transfer) can have the same understanding</w:t>
      </w:r>
      <w:r>
        <w:rPr>
          <w:rFonts w:hint="eastAsia"/>
          <w:lang w:val="en-US" w:eastAsia="zh-CN"/>
        </w:rPr>
        <w:t>s</w:t>
      </w:r>
      <w:r>
        <w:rPr>
          <w:lang w:val="en-US" w:eastAsia="zh-CN"/>
        </w:rPr>
        <w:t xml:space="preserve"> on the model to be reported/transferred.</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_Toc27276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5: </w:t>
      </w:r>
      <w:r>
        <w:rPr>
          <w:rFonts w:hint="eastAsia"/>
          <w:lang w:val="en-US" w:eastAsia="zh-CN"/>
        </w:rPr>
        <w:t xml:space="preserve">For model identification </w:t>
      </w:r>
      <w:r>
        <w:rPr>
          <w:lang w:val="en-US" w:eastAsia="zh-CN"/>
        </w:rPr>
        <w:t>via over-the-air signaling</w:t>
      </w:r>
      <w:r>
        <w:rPr>
          <w:rFonts w:hint="eastAsia"/>
          <w:lang w:val="en-US" w:eastAsia="zh-CN"/>
        </w:rPr>
        <w:t xml:space="preserve">, there is no clear benefit to assign the global </w:t>
      </w:r>
      <w:r>
        <w:rPr>
          <w:lang w:val="en-US" w:eastAsia="zh-CN"/>
        </w:rPr>
        <w:t>‘</w:t>
      </w:r>
      <w:r>
        <w:rPr>
          <w:rFonts w:hint="eastAsia"/>
          <w:lang w:val="en-US" w:eastAsia="zh-CN"/>
        </w:rPr>
        <w:t>unique</w:t>
      </w:r>
      <w:r>
        <w:rPr>
          <w:lang w:val="en-US" w:eastAsia="zh-CN"/>
        </w:rPr>
        <w:t>’</w:t>
      </w:r>
      <w:r>
        <w:rPr>
          <w:rFonts w:hint="eastAsia"/>
          <w:lang w:val="en-US" w:eastAsia="zh-CN"/>
        </w:rPr>
        <w:t xml:space="preserve"> model ID to model description information only.</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_Toc1697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6: </w:t>
      </w:r>
      <w:r>
        <w:rPr>
          <w:rFonts w:hint="eastAsia"/>
          <w:lang w:val="en-US" w:eastAsia="zh-CN"/>
        </w:rPr>
        <w:t>The major differences between functionality-based LCM and model-ID-based LCM contribute to the UE capability report, functionality/model report, and model transfer. However, after that, the operations on a functionality or a model (e.g., measurement report, performance monitoring, activation/deactivation, selection, or switching) can use a unified signaling framework.</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_Toc8380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7: </w:t>
      </w:r>
      <w:r>
        <w:rPr>
          <w:rFonts w:hint="eastAsia"/>
          <w:lang w:val="en-US" w:eastAsia="zh-CN"/>
        </w:rPr>
        <w:t>From RAN1 perspective, model delivery in an open-format has following concerns and benefits: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_Toc20491 </w:instrText>
      </w:r>
      <w:r>
        <w:rPr>
          <w:highlight w:val="yellow"/>
        </w:rPr>
        <w:fldChar w:fldCharType="separate"/>
      </w:r>
      <w:r>
        <w:rPr>
          <w:rFonts w:hint="default" w:ascii="Arial" w:hAnsi="Arial" w:cs="Arial"/>
          <w:kern w:val="0"/>
          <w:lang w:bidi="ar"/>
        </w:rPr>
        <w:t xml:space="preserve">• </w:t>
      </w:r>
      <w:r>
        <w:rPr>
          <w:rFonts w:hint="eastAsia"/>
        </w:rPr>
        <w:t xml:space="preserve">Concerns </w:t>
      </w:r>
      <w:r>
        <w:rPr>
          <w:kern w:val="0"/>
          <w:lang w:bidi="ar"/>
        </w:rPr>
        <w:t>with model delivery in an open format:</w:t>
      </w:r>
      <w:r>
        <w:rPr>
          <w:highlight w:val="yellow"/>
        </w:rPr>
        <w:fldChar w:fldCharType="end"/>
      </w:r>
    </w:p>
    <w:p>
      <w:pPr>
        <w:pStyle w:val="7"/>
        <w:tabs>
          <w:tab w:val="right" w:pos="9660"/>
        </w:tabs>
      </w:pPr>
      <w:r>
        <w:rPr>
          <w:highlight w:val="yellow"/>
        </w:rPr>
        <w:fldChar w:fldCharType="begin"/>
      </w:r>
      <w:r>
        <w:rPr>
          <w:highlight w:val="yellow"/>
        </w:rPr>
        <w:instrText xml:space="preserve"> HYPERLINK \l _Toc12075 </w:instrText>
      </w:r>
      <w:r>
        <w:rPr>
          <w:highlight w:val="yellow"/>
        </w:rPr>
        <w:fldChar w:fldCharType="separate"/>
      </w:r>
      <w:r>
        <w:rPr>
          <w:rFonts w:hint="default" w:ascii="Arial" w:hAnsi="Arial" w:cs="Arial"/>
        </w:rPr>
        <w:t xml:space="preserve">◦ </w:t>
      </w:r>
      <w:r>
        <w:rPr>
          <w:rFonts w:hint="eastAsia"/>
        </w:rPr>
        <w:t>Require advanced UE capability for compiling and running the model;</w:t>
      </w:r>
      <w:r>
        <w:rPr>
          <w:highlight w:val="yellow"/>
        </w:rPr>
        <w:fldChar w:fldCharType="end"/>
      </w:r>
    </w:p>
    <w:p>
      <w:pPr>
        <w:pStyle w:val="7"/>
        <w:tabs>
          <w:tab w:val="right" w:pos="9660"/>
        </w:tabs>
      </w:pPr>
      <w:r>
        <w:rPr>
          <w:highlight w:val="yellow"/>
        </w:rPr>
        <w:fldChar w:fldCharType="begin"/>
      </w:r>
      <w:r>
        <w:rPr>
          <w:highlight w:val="yellow"/>
        </w:rPr>
        <w:instrText xml:space="preserve"> HYPERLINK \l _Toc22739 </w:instrText>
      </w:r>
      <w:r>
        <w:rPr>
          <w:highlight w:val="yellow"/>
        </w:rPr>
        <w:fldChar w:fldCharType="separate"/>
      </w:r>
      <w:r>
        <w:rPr>
          <w:rFonts w:hint="default" w:ascii="Arial" w:hAnsi="Arial" w:cs="Arial"/>
        </w:rPr>
        <w:t xml:space="preserve">◦ </w:t>
      </w:r>
      <w:r>
        <w:rPr>
          <w:rFonts w:hint="eastAsia"/>
        </w:rPr>
        <w:t>Proprietary model information disclosed across vendors;</w:t>
      </w:r>
      <w:r>
        <w:rPr>
          <w:highlight w:val="yellow"/>
        </w:rPr>
        <w:fldChar w:fldCharType="end"/>
      </w:r>
    </w:p>
    <w:p>
      <w:pPr>
        <w:pStyle w:val="7"/>
        <w:tabs>
          <w:tab w:val="right" w:pos="9660"/>
        </w:tabs>
      </w:pPr>
      <w:r>
        <w:rPr>
          <w:highlight w:val="yellow"/>
        </w:rPr>
        <w:fldChar w:fldCharType="begin"/>
      </w:r>
      <w:r>
        <w:rPr>
          <w:highlight w:val="yellow"/>
        </w:rPr>
        <w:instrText xml:space="preserve"> HYPERLINK \l _Toc7222 </w:instrText>
      </w:r>
      <w:r>
        <w:rPr>
          <w:highlight w:val="yellow"/>
        </w:rPr>
        <w:fldChar w:fldCharType="separate"/>
      </w:r>
      <w:r>
        <w:rPr>
          <w:rFonts w:hint="default" w:ascii="Arial" w:hAnsi="Arial" w:cs="Arial"/>
        </w:rPr>
        <w:t xml:space="preserve">◦ </w:t>
      </w:r>
      <w:r>
        <w:rPr>
          <w:rFonts w:hint="eastAsia"/>
        </w:rPr>
        <w:t>Model performance (e.g., intermediate KPIs, end-to-end performance, inference latency) is not guaranteed;</w:t>
      </w:r>
      <w:r>
        <w:rPr>
          <w:highlight w:val="yellow"/>
        </w:rPr>
        <w:fldChar w:fldCharType="end"/>
      </w:r>
    </w:p>
    <w:p>
      <w:pPr>
        <w:pStyle w:val="7"/>
        <w:tabs>
          <w:tab w:val="right" w:pos="9660"/>
        </w:tabs>
      </w:pPr>
      <w:r>
        <w:rPr>
          <w:highlight w:val="yellow"/>
        </w:rPr>
        <w:fldChar w:fldCharType="begin"/>
      </w:r>
      <w:r>
        <w:rPr>
          <w:highlight w:val="yellow"/>
        </w:rPr>
        <w:instrText xml:space="preserve"> HYPERLINK \l _Toc4263 </w:instrText>
      </w:r>
      <w:r>
        <w:rPr>
          <w:highlight w:val="yellow"/>
        </w:rPr>
        <w:fldChar w:fldCharType="separate"/>
      </w:r>
      <w:r>
        <w:rPr>
          <w:rFonts w:hint="default" w:ascii="Arial" w:hAnsi="Arial" w:cs="Arial"/>
        </w:rPr>
        <w:t xml:space="preserve">◦ </w:t>
      </w:r>
      <w:r>
        <w:rPr>
          <w:rFonts w:hint="eastAsia"/>
        </w:rPr>
        <w:t>Large specification impacts.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_Toc14451 </w:instrText>
      </w:r>
      <w:r>
        <w:rPr>
          <w:highlight w:val="yellow"/>
        </w:rPr>
        <w:fldChar w:fldCharType="separate"/>
      </w:r>
      <w:r>
        <w:rPr>
          <w:rFonts w:hint="default" w:ascii="Arial" w:hAnsi="Arial" w:cs="Arial"/>
          <w:kern w:val="0"/>
          <w:lang w:bidi="ar"/>
        </w:rPr>
        <w:t xml:space="preserve">• </w:t>
      </w:r>
      <w:r>
        <w:rPr>
          <w:rFonts w:hint="eastAsia"/>
        </w:rPr>
        <w:t xml:space="preserve">Benefits </w:t>
      </w:r>
      <w:r>
        <w:rPr>
          <w:kern w:val="0"/>
          <w:lang w:bidi="ar"/>
        </w:rPr>
        <w:t xml:space="preserve">of </w:t>
      </w:r>
      <w:r>
        <w:rPr>
          <w:rFonts w:eastAsia="微软雅黑"/>
          <w:kern w:val="0"/>
        </w:rPr>
        <w:t xml:space="preserve">model </w:t>
      </w:r>
      <w:r>
        <w:rPr>
          <w:kern w:val="0"/>
          <w:lang w:bidi="ar"/>
        </w:rPr>
        <w:t>delivery in an open format:</w:t>
      </w:r>
      <w:r>
        <w:rPr>
          <w:highlight w:val="yellow"/>
        </w:rPr>
        <w:fldChar w:fldCharType="end"/>
      </w:r>
    </w:p>
    <w:p>
      <w:pPr>
        <w:pStyle w:val="7"/>
        <w:tabs>
          <w:tab w:val="right" w:pos="9660"/>
        </w:tabs>
      </w:pPr>
      <w:r>
        <w:rPr>
          <w:highlight w:val="yellow"/>
        </w:rPr>
        <w:fldChar w:fldCharType="begin"/>
      </w:r>
      <w:r>
        <w:rPr>
          <w:highlight w:val="yellow"/>
        </w:rPr>
        <w:instrText xml:space="preserve"> HYPERLINK \l _Toc12008 </w:instrText>
      </w:r>
      <w:r>
        <w:rPr>
          <w:highlight w:val="yellow"/>
        </w:rPr>
        <w:fldChar w:fldCharType="separate"/>
      </w:r>
      <w:r>
        <w:rPr>
          <w:rFonts w:hint="default" w:ascii="Arial" w:hAnsi="Arial" w:cs="Arial"/>
        </w:rPr>
        <w:t xml:space="preserve">◦ </w:t>
      </w:r>
      <w:r>
        <w:rPr>
          <w:rFonts w:hint="eastAsia"/>
        </w:rPr>
        <w:t>Shorter model update timescale compared to proprietary-format models that need offline model re-training, compiling, and testing.</w:t>
      </w:r>
      <w:r>
        <w:rPr>
          <w:highlight w:val="yellow"/>
        </w:rPr>
        <w:fldChar w:fldCharType="end"/>
      </w:r>
    </w:p>
    <w:p>
      <w:pPr>
        <w:pStyle w:val="7"/>
        <w:tabs>
          <w:tab w:val="right" w:pos="9660"/>
        </w:tabs>
      </w:pPr>
      <w:r>
        <w:rPr>
          <w:highlight w:val="yellow"/>
        </w:rPr>
        <w:fldChar w:fldCharType="begin"/>
      </w:r>
      <w:r>
        <w:rPr>
          <w:highlight w:val="yellow"/>
        </w:rPr>
        <w:instrText xml:space="preserve"> HYPERLINK \l _Toc19059 </w:instrText>
      </w:r>
      <w:r>
        <w:rPr>
          <w:highlight w:val="yellow"/>
        </w:rPr>
        <w:fldChar w:fldCharType="separate"/>
      </w:r>
      <w:r>
        <w:rPr>
          <w:rFonts w:hint="default" w:ascii="Arial" w:hAnsi="Arial" w:cs="Arial"/>
        </w:rPr>
        <w:t xml:space="preserve">◦ </w:t>
      </w:r>
      <w:r>
        <w:rPr>
          <w:rFonts w:hint="eastAsia"/>
        </w:rPr>
        <w:t>Joint model development across vendors.</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_Toc25028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8: </w:t>
      </w:r>
      <w:r>
        <w:rPr>
          <w:rFonts w:hint="eastAsia"/>
          <w:lang w:val="en-US" w:eastAsia="zh-CN"/>
        </w:rPr>
        <w:t>Define the boundary for model transfer/delivery Case z4 and Case z5 as follows: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_Toc27113 </w:instrText>
      </w:r>
      <w:r>
        <w:rPr>
          <w:highlight w:val="yellow"/>
        </w:rPr>
        <w:fldChar w:fldCharType="separate"/>
      </w:r>
      <w:r>
        <w:rPr>
          <w:rFonts w:hint="default" w:ascii="Arial" w:hAnsi="Arial" w:eastAsia="微软雅黑" w:cs="Arial"/>
          <w:kern w:val="0"/>
        </w:rPr>
        <w:t xml:space="preserve">• </w:t>
      </w:r>
      <w:r>
        <w:rPr>
          <w:rFonts w:hint="eastAsia"/>
        </w:rPr>
        <w:t xml:space="preserve">In model delivery/transfer Case z4, the </w:t>
      </w:r>
      <w:r>
        <w:t>“</w:t>
      </w:r>
      <w:r>
        <w:rPr>
          <w:rFonts w:hint="eastAsia"/>
        </w:rPr>
        <w:t>known model structure</w:t>
      </w:r>
      <w:r>
        <w:t>”</w:t>
      </w:r>
      <w:r>
        <w:rPr>
          <w:rFonts w:hint="eastAsia"/>
        </w:rPr>
        <w:t xml:space="preserve"> means an exact model structure that has been previously identified between NW and UE and for which the UE has explicitly indicated its support .</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_Toc861 </w:instrText>
      </w:r>
      <w:r>
        <w:rPr>
          <w:highlight w:val="yellow"/>
        </w:rPr>
        <w:fldChar w:fldCharType="separate"/>
      </w:r>
      <w:r>
        <w:rPr>
          <w:rFonts w:hint="default" w:ascii="Arial" w:hAnsi="Arial" w:cs="Arial"/>
        </w:rPr>
        <w:t xml:space="preserve">• </w:t>
      </w:r>
      <w:r>
        <w:t xml:space="preserve">In model delivery/transfer Case z5, the “unknown model structure” means any other model structure not covered in </w:t>
      </w:r>
      <w:r>
        <w:rPr>
          <w:rFonts w:hint="eastAsia"/>
        </w:rPr>
        <w:t xml:space="preserve">Case </w:t>
      </w:r>
      <w:r>
        <w:t>z4.</w:t>
      </w:r>
      <w:r>
        <w:rPr>
          <w:highlight w:val="yellow"/>
        </w:rPr>
        <w:fldChar w:fldCharType="end"/>
      </w:r>
    </w:p>
    <w:p>
      <w:pPr>
        <w:snapToGrid w:val="0"/>
        <w:spacing w:before="72" w:beforeLines="30" w:after="72" w:afterLines="30" w:line="288" w:lineRule="auto"/>
        <w:rPr>
          <w:rFonts w:eastAsia="微软雅黑"/>
          <w:highlight w:val="yellow"/>
        </w:rPr>
      </w:pPr>
      <w:r>
        <w:rPr>
          <w:highlight w:val="yellow"/>
        </w:rPr>
        <w:fldChar w:fldCharType="end"/>
      </w:r>
    </w:p>
    <w:p>
      <w:pPr>
        <w:pStyle w:val="11"/>
        <w:tabs>
          <w:tab w:val="right" w:pos="9660"/>
        </w:tabs>
        <w:rPr>
          <w:lang w:val="en-US"/>
        </w:rPr>
      </w:pPr>
      <w:r>
        <w:rPr>
          <w:highlight w:val="yellow"/>
        </w:rPr>
        <w:fldChar w:fldCharType="begin"/>
      </w:r>
      <w:r>
        <w:rPr>
          <w:highlight w:val="yellow"/>
        </w:rPr>
        <w:instrText xml:space="preserve">TOC \n  \t "!ZTE-Proposal-2021 + 段前: 0.5 行 段后: 0.5 行,1,sub-proposal,2,3rd level proposal,3" \h</w:instrText>
      </w:r>
      <w:r>
        <w:rPr>
          <w:highlight w:val="yellow"/>
        </w:rPr>
        <w:fldChar w:fldCharType="separate"/>
      </w:r>
      <w:r>
        <w:rPr>
          <w:highlight w:val="yellow"/>
        </w:rPr>
        <w:fldChar w:fldCharType="begin"/>
      </w:r>
      <w:r>
        <w:rPr>
          <w:highlight w:val="yellow"/>
        </w:rPr>
        <w:instrText xml:space="preserve"> HYPERLINK \l _Toc12514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 </w:t>
      </w:r>
      <w:r>
        <w:rPr>
          <w:rFonts w:hint="eastAsia"/>
          <w:lang w:val="en-US"/>
        </w:rPr>
        <w:t>Revise the terminologies agreed for model activation, model deactivation</w:t>
      </w:r>
      <w:r>
        <w:rPr>
          <w:rFonts w:hint="eastAsia"/>
          <w:lang w:val="en-US" w:eastAsia="zh-CN"/>
        </w:rPr>
        <w:t>,</w:t>
      </w:r>
      <w:r>
        <w:rPr>
          <w:rFonts w:hint="eastAsia"/>
          <w:lang w:val="en-US"/>
        </w:rPr>
        <w:t xml:space="preserve"> and model switching</w:t>
      </w:r>
      <w:r>
        <w:rPr>
          <w:rFonts w:hint="eastAsia"/>
          <w:lang w:val="en-US" w:eastAsia="zh-CN"/>
        </w:rPr>
        <w:t xml:space="preserve"> as follows</w:t>
      </w:r>
      <w:r>
        <w:rPr>
          <w:rFonts w:hint="eastAsia"/>
          <w:lang w:val="en-US"/>
        </w:rPr>
        <w:t>,</w:t>
      </w:r>
      <w:r>
        <w:rPr>
          <w:highlight w:val="yellow"/>
        </w:rPr>
        <w:fldChar w:fldCharType="end"/>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2"/>
        <w:gridCol w:w="6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activation</w:t>
            </w:r>
          </w:p>
        </w:tc>
        <w:tc>
          <w:tcPr>
            <w:tcW w:w="6817" w:type="dxa"/>
            <w:tcBorders>
              <w:top w:val="single" w:color="auto" w:sz="4" w:space="0"/>
              <w:left w:val="nil"/>
              <w:bottom w:val="single" w:color="auto" w:sz="4" w:space="0"/>
              <w:right w:val="single" w:color="auto" w:sz="4" w:space="0"/>
            </w:tcBorders>
          </w:tcPr>
          <w:p>
            <w:pPr>
              <w:spacing w:before="120" w:after="120"/>
              <w:rPr>
                <w:rFonts w:eastAsia="宋体"/>
              </w:rPr>
            </w:pPr>
            <w:r>
              <w:t xml:space="preserve">enable an AI/ML model for a specific </w:t>
            </w:r>
            <w:r>
              <w:rPr>
                <w:strike/>
              </w:rPr>
              <w:t>function</w:t>
            </w:r>
            <w:r>
              <w:rPr>
                <w:rFonts w:hint="eastAsia" w:eastAsia="宋体"/>
              </w:rPr>
              <w:t xml:space="preserve"> </w:t>
            </w:r>
            <w:r>
              <w:rPr>
                <w:rFonts w:hint="eastAsia" w:eastAsia="宋体"/>
                <w:b/>
                <w:bCs/>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deactivation</w:t>
            </w:r>
          </w:p>
        </w:tc>
        <w:tc>
          <w:tcPr>
            <w:tcW w:w="6817" w:type="dxa"/>
            <w:tcBorders>
              <w:top w:val="single" w:color="auto" w:sz="4" w:space="0"/>
              <w:left w:val="nil"/>
              <w:bottom w:val="single" w:color="auto" w:sz="4" w:space="0"/>
              <w:right w:val="single" w:color="auto" w:sz="4" w:space="0"/>
            </w:tcBorders>
          </w:tcPr>
          <w:p>
            <w:pPr>
              <w:spacing w:before="120" w:after="120"/>
            </w:pPr>
            <w:r>
              <w:t xml:space="preserve">disable an AI/ML model for a specific </w:t>
            </w:r>
            <w:r>
              <w:rPr>
                <w:strike/>
              </w:rPr>
              <w:t>function</w:t>
            </w:r>
            <w:r>
              <w:rPr>
                <w:rFonts w:hint="eastAsia" w:eastAsia="宋体"/>
              </w:rPr>
              <w:t xml:space="preserve"> </w:t>
            </w:r>
            <w:r>
              <w:rPr>
                <w:rFonts w:hint="eastAsia" w:eastAsia="宋体"/>
                <w:b/>
                <w:bCs/>
              </w:rPr>
              <w:t>AI/ML-enabled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5" w:type="dxa"/>
            <w:tcBorders>
              <w:top w:val="single" w:color="auto" w:sz="4" w:space="0"/>
              <w:left w:val="single" w:color="auto" w:sz="4" w:space="0"/>
              <w:bottom w:val="single" w:color="auto" w:sz="4" w:space="0"/>
              <w:right w:val="single" w:color="auto" w:sz="4" w:space="0"/>
            </w:tcBorders>
          </w:tcPr>
          <w:p>
            <w:pPr>
              <w:spacing w:before="120" w:after="120"/>
            </w:pPr>
            <w:r>
              <w:t>Model switching</w:t>
            </w:r>
          </w:p>
        </w:tc>
        <w:tc>
          <w:tcPr>
            <w:tcW w:w="6817" w:type="dxa"/>
            <w:tcBorders>
              <w:top w:val="single" w:color="auto" w:sz="4" w:space="0"/>
              <w:left w:val="nil"/>
              <w:bottom w:val="single" w:color="auto" w:sz="4" w:space="0"/>
              <w:right w:val="single" w:color="auto" w:sz="4" w:space="0"/>
            </w:tcBorders>
          </w:tcPr>
          <w:p>
            <w:pPr>
              <w:spacing w:before="120" w:after="120"/>
            </w:pPr>
            <w:r>
              <w:t xml:space="preserve">Deactivating a currently active AI/ML model and activating a different AI/ML model for a specific </w:t>
            </w:r>
            <w:r>
              <w:rPr>
                <w:strike/>
              </w:rPr>
              <w:t>function</w:t>
            </w:r>
            <w:r>
              <w:rPr>
                <w:rFonts w:hint="eastAsia" w:eastAsia="宋体"/>
              </w:rPr>
              <w:t xml:space="preserve"> </w:t>
            </w:r>
            <w:r>
              <w:rPr>
                <w:rFonts w:hint="eastAsia" w:eastAsia="宋体"/>
                <w:b/>
                <w:bCs/>
              </w:rPr>
              <w:t>AI/ML-enabled feature</w:t>
            </w:r>
          </w:p>
        </w:tc>
      </w:tr>
    </w:tbl>
    <w:p>
      <w:pPr>
        <w:pStyle w:val="11"/>
        <w:tabs>
          <w:tab w:val="right" w:pos="9660"/>
        </w:tabs>
      </w:pPr>
      <w:r>
        <w:rPr>
          <w:highlight w:val="yellow"/>
        </w:rPr>
        <w:fldChar w:fldCharType="begin"/>
      </w:r>
      <w:r>
        <w:rPr>
          <w:highlight w:val="yellow"/>
        </w:rPr>
        <w:instrText xml:space="preserve"> HYPERLINK \l _Toc13826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2: </w:t>
      </w:r>
      <w:r>
        <w:rPr>
          <w:rFonts w:hint="eastAsia"/>
          <w:lang w:val="en-US"/>
        </w:rPr>
        <w:t>The functional framework about the relationship between different functions should be discussed in RAN1. The entity mapping for the functions in the functional framework can be further discussed by RAN2.</w:t>
      </w:r>
      <w:r>
        <w:rPr>
          <w:highlight w:val="yellow"/>
        </w:rPr>
        <w:fldChar w:fldCharType="end"/>
      </w:r>
    </w:p>
    <w:p>
      <w:pPr>
        <w:pStyle w:val="11"/>
        <w:tabs>
          <w:tab w:val="right" w:pos="9660"/>
        </w:tabs>
        <w:rPr>
          <w:highlight w:val="yellow"/>
        </w:rPr>
      </w:pPr>
      <w:r>
        <w:rPr>
          <w:highlight w:val="yellow"/>
        </w:rPr>
        <w:fldChar w:fldCharType="begin"/>
      </w:r>
      <w:r>
        <w:rPr>
          <w:highlight w:val="yellow"/>
        </w:rPr>
        <w:instrText xml:space="preserve"> HYPERLINK \l _Toc18423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3: </w:t>
      </w:r>
      <w:r>
        <w:rPr>
          <w:rFonts w:hint="eastAsia"/>
          <w:lang w:val="en-US"/>
        </w:rPr>
        <w:t>Adopt the following functional framework as a starting point for further discussion:</w:t>
      </w:r>
      <w:r>
        <w:rPr>
          <w:highlight w:val="yellow"/>
        </w:rPr>
        <w:fldChar w:fldCharType="end"/>
      </w:r>
    </w:p>
    <w:p>
      <w:r>
        <w:drawing>
          <wp:inline distT="0" distB="0" distL="114300" distR="114300">
            <wp:extent cx="5455920" cy="256730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5455920" cy="2567305"/>
                    </a:xfrm>
                    <a:prstGeom prst="rect">
                      <a:avLst/>
                    </a:prstGeom>
                    <a:noFill/>
                    <a:ln>
                      <a:noFill/>
                    </a:ln>
                  </pic:spPr>
                </pic:pic>
              </a:graphicData>
            </a:graphic>
          </wp:inline>
        </w:drawing>
      </w:r>
    </w:p>
    <w:p>
      <w:pPr>
        <w:pStyle w:val="11"/>
        <w:tabs>
          <w:tab w:val="right" w:pos="9660"/>
        </w:tabs>
      </w:pPr>
      <w:r>
        <w:rPr>
          <w:highlight w:val="yellow"/>
        </w:rPr>
        <w:fldChar w:fldCharType="begin"/>
      </w:r>
      <w:r>
        <w:rPr>
          <w:highlight w:val="yellow"/>
        </w:rPr>
        <w:instrText xml:space="preserve"> HYPERLINK \l _Toc17550 </w:instrText>
      </w:r>
      <w:r>
        <w:rPr>
          <w:highlight w:val="yellow"/>
        </w:rPr>
        <w:fldChar w:fldCharType="separate"/>
      </w:r>
      <w:r>
        <w:rPr>
          <w:rFonts w:hint="eastAsia" w:ascii="Times New Roman" w:hAnsi="Times New Roman" w:eastAsiaTheme="minorEastAsia"/>
          <w:caps w:val="0"/>
          <w:smallCaps w:val="0"/>
          <w:strike w:val="0"/>
          <w:dstrike w:val="0"/>
          <w:vanish w:val="0"/>
          <w:spacing w:val="0"/>
          <w:kern w:val="2"/>
          <w:position w:val="0"/>
          <w:vertAlign w:val="baseline"/>
          <w:lang w:val="en-US" w:eastAsia="zh-CN"/>
        </w:rPr>
        <w:t xml:space="preserve">Proposal 4: </w:t>
      </w:r>
      <w:r>
        <w:rPr>
          <w:rFonts w:hint="eastAsia" w:eastAsiaTheme="minorEastAsia"/>
          <w:kern w:val="2"/>
          <w:lang w:val="en-US" w:eastAsia="zh-CN"/>
        </w:rPr>
        <w:t xml:space="preserve">Send LS to RAN2 about the identified requirements in RAN1 </w:t>
      </w:r>
      <w:r>
        <w:rPr>
          <w:rFonts w:hint="eastAsia"/>
          <w:kern w:val="2"/>
          <w:lang w:val="en-US" w:eastAsia="zh-CN"/>
        </w:rPr>
        <w:t xml:space="preserve">on data collection </w:t>
      </w:r>
      <w:r>
        <w:rPr>
          <w:rFonts w:hint="eastAsia" w:eastAsiaTheme="minorEastAsia"/>
          <w:kern w:val="2"/>
          <w:lang w:val="en-US" w:eastAsia="zh-CN"/>
        </w:rPr>
        <w:t>for various use cases and LCM purposes, at leas</w:t>
      </w:r>
      <w:r>
        <w:rPr>
          <w:rFonts w:hint="eastAsia"/>
          <w:kern w:val="2"/>
          <w:lang w:val="en-US" w:eastAsia="zh-CN"/>
        </w:rPr>
        <w:t>t</w:t>
      </w:r>
      <w:r>
        <w:rPr>
          <w:rFonts w:hint="eastAsia" w:eastAsiaTheme="minorEastAsia"/>
          <w:kern w:val="2"/>
          <w:lang w:val="en-US" w:eastAsia="zh-CN"/>
        </w:rPr>
        <w:t xml:space="preserve"> consider the following aspects: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_Toc13331 </w:instrText>
      </w:r>
      <w:r>
        <w:rPr>
          <w:highlight w:val="yellow"/>
        </w:rPr>
        <w:fldChar w:fldCharType="separate"/>
      </w:r>
      <w:r>
        <w:rPr>
          <w:rFonts w:hint="default" w:ascii="Arial" w:hAnsi="Arial" w:eastAsia="宋体" w:cs="Arial"/>
          <w:kern w:val="0"/>
          <w:lang w:val="en-US" w:eastAsia="zh-CN"/>
        </w:rPr>
        <w:t xml:space="preserve">• </w:t>
      </w:r>
      <w:r>
        <w:rPr>
          <w:rFonts w:hint="default" w:eastAsia="宋体"/>
          <w:kern w:val="0"/>
          <w:lang w:val="en-US" w:eastAsia="zh-CN"/>
        </w:rPr>
        <w:t>Report type and content;</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_Toc32663 </w:instrText>
      </w:r>
      <w:r>
        <w:rPr>
          <w:highlight w:val="yellow"/>
        </w:rPr>
        <w:fldChar w:fldCharType="separate"/>
      </w:r>
      <w:r>
        <w:rPr>
          <w:rFonts w:hint="default" w:ascii="Arial" w:hAnsi="Arial" w:eastAsia="宋体" w:cs="Arial"/>
          <w:kern w:val="0"/>
          <w:lang w:val="en-US" w:eastAsia="zh-CN"/>
        </w:rPr>
        <w:t xml:space="preserve">• </w:t>
      </w:r>
      <w:r>
        <w:rPr>
          <w:rFonts w:hint="default" w:eastAsia="宋体"/>
          <w:kern w:val="0"/>
          <w:lang w:val="en-US" w:eastAsia="zh-CN"/>
        </w:rPr>
        <w:t>Data size per reporting;</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_Toc12547 </w:instrText>
      </w:r>
      <w:r>
        <w:rPr>
          <w:highlight w:val="yellow"/>
        </w:rPr>
        <w:fldChar w:fldCharType="separate"/>
      </w:r>
      <w:r>
        <w:rPr>
          <w:rFonts w:hint="default" w:ascii="Arial" w:hAnsi="Arial" w:eastAsia="宋体" w:cs="Arial"/>
          <w:kern w:val="0"/>
          <w:lang w:val="en-US" w:eastAsia="zh-CN"/>
        </w:rPr>
        <w:t xml:space="preserve">• </w:t>
      </w:r>
      <w:r>
        <w:rPr>
          <w:rFonts w:hint="default" w:eastAsia="宋体"/>
          <w:kern w:val="0"/>
          <w:lang w:val="en-US" w:eastAsia="zh-CN"/>
        </w:rPr>
        <w:t>Report latency and periodicity;</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_Toc31305 </w:instrText>
      </w:r>
      <w:r>
        <w:rPr>
          <w:highlight w:val="yellow"/>
        </w:rPr>
        <w:fldChar w:fldCharType="separate"/>
      </w:r>
      <w:r>
        <w:rPr>
          <w:rFonts w:hint="default" w:ascii="Arial" w:hAnsi="Arial" w:eastAsia="宋体" w:cs="Arial"/>
          <w:kern w:val="0"/>
          <w:lang w:val="en-US" w:eastAsia="zh-CN"/>
        </w:rPr>
        <w:t xml:space="preserve">• </w:t>
      </w:r>
      <w:r>
        <w:rPr>
          <w:rFonts w:hint="default" w:eastAsia="宋体"/>
          <w:kern w:val="0"/>
          <w:lang w:val="en-US" w:eastAsia="zh-CN"/>
        </w:rPr>
        <w:t>The amount of data samples.</w:t>
      </w:r>
      <w:r>
        <w:rPr>
          <w:highlight w:val="yellow"/>
        </w:rPr>
        <w:fldChar w:fldCharType="end"/>
      </w:r>
    </w:p>
    <w:p>
      <w:pPr>
        <w:pStyle w:val="13"/>
        <w:tabs>
          <w:tab w:val="right" w:pos="9660"/>
        </w:tabs>
        <w:rPr>
          <w:highlight w:val="yellow"/>
        </w:rPr>
      </w:pPr>
      <w:r>
        <w:rPr>
          <w:highlight w:val="yellow"/>
        </w:rPr>
        <w:fldChar w:fldCharType="begin"/>
      </w:r>
      <w:r>
        <w:rPr>
          <w:highlight w:val="yellow"/>
        </w:rPr>
        <w:instrText xml:space="preserve"> HYPERLINK \l _Toc31114 </w:instrText>
      </w:r>
      <w:r>
        <w:rPr>
          <w:highlight w:val="yellow"/>
        </w:rPr>
        <w:fldChar w:fldCharType="separate"/>
      </w:r>
      <w:r>
        <w:rPr>
          <w:rFonts w:hint="default" w:ascii="Arial" w:hAnsi="Arial" w:eastAsia="宋体" w:cs="Arial"/>
          <w:kern w:val="0"/>
          <w:lang w:val="en-US" w:eastAsia="zh-CN"/>
        </w:rPr>
        <w:t xml:space="preserve">• </w:t>
      </w:r>
      <w:r>
        <w:rPr>
          <w:rFonts w:hint="default" w:eastAsia="宋体"/>
          <w:kern w:val="0"/>
          <w:lang w:val="en-US" w:eastAsia="zh-CN"/>
        </w:rPr>
        <w:t>Note: the following table can be adopted for collecting the requirements:</w:t>
      </w:r>
      <w:r>
        <w:rPr>
          <w:highlight w:val="yellow"/>
        </w:rPr>
        <w:fldChar w:fldCharType="end"/>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224"/>
        <w:gridCol w:w="972"/>
        <w:gridCol w:w="1284"/>
        <w:gridCol w:w="864"/>
        <w:gridCol w:w="912"/>
        <w:gridCol w:w="1560"/>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Use case</w:t>
            </w:r>
          </w:p>
        </w:tc>
        <w:tc>
          <w:tcPr>
            <w:tcW w:w="122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type</w:t>
            </w:r>
          </w:p>
        </w:tc>
        <w:tc>
          <w:tcPr>
            <w:tcW w:w="97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content</w:t>
            </w:r>
          </w:p>
        </w:tc>
        <w:tc>
          <w:tcPr>
            <w:tcW w:w="128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Data size per reporting</w:t>
            </w:r>
          </w:p>
        </w:tc>
        <w:tc>
          <w:tcPr>
            <w:tcW w:w="86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latency</w:t>
            </w:r>
          </w:p>
        </w:tc>
        <w:tc>
          <w:tcPr>
            <w:tcW w:w="91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Report periodicity</w:t>
            </w:r>
          </w:p>
        </w:tc>
        <w:tc>
          <w:tcPr>
            <w:tcW w:w="1560"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The amount of samples (if applicable)</w:t>
            </w:r>
          </w:p>
        </w:tc>
        <w:tc>
          <w:tcPr>
            <w:tcW w:w="205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r>
              <w:rPr>
                <w:rFonts w:hint="eastAsia" w:eastAsia="微软雅黑"/>
                <w:kern w:val="0"/>
                <w:vertAlign w:val="baseline"/>
                <w:lang w:val="en-US" w:eastAsia="zh-CN"/>
              </w:rPr>
              <w:t>LCM purposes (e.g., model training, model monitoring or model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22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97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28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864"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91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1560"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c>
          <w:tcPr>
            <w:tcW w:w="2052" w:type="dxa"/>
          </w:tcPr>
          <w:p>
            <w:pPr>
              <w:numPr>
                <w:ilvl w:val="-1"/>
                <w:numId w:val="0"/>
              </w:numPr>
              <w:snapToGrid w:val="0"/>
              <w:spacing w:before="72" w:beforeLines="30" w:after="72" w:afterLines="30" w:line="288" w:lineRule="auto"/>
              <w:rPr>
                <w:rFonts w:hint="default" w:eastAsia="微软雅黑"/>
                <w:kern w:val="0"/>
                <w:vertAlign w:val="baseline"/>
                <w:lang w:val="en-US" w:eastAsia="zh-CN"/>
              </w:rPr>
            </w:pPr>
          </w:p>
        </w:tc>
      </w:tr>
    </w:tbl>
    <w:p>
      <w:pPr>
        <w:pStyle w:val="11"/>
        <w:tabs>
          <w:tab w:val="right" w:pos="9660"/>
        </w:tabs>
      </w:pPr>
      <w:r>
        <w:rPr>
          <w:highlight w:val="yellow"/>
        </w:rPr>
        <w:fldChar w:fldCharType="begin"/>
      </w:r>
      <w:r>
        <w:rPr>
          <w:highlight w:val="yellow"/>
        </w:rPr>
        <w:instrText xml:space="preserve"> HYPERLINK \l _Toc20345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5: </w:t>
      </w:r>
      <w:r>
        <w:rPr>
          <w:rFonts w:hint="eastAsia"/>
          <w:lang w:val="en-US"/>
        </w:rPr>
        <w:t>For the purpose of identifying a dataset between network side and UE side, further define the following terminology:</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_Toc25542 </w:instrText>
      </w:r>
      <w:r>
        <w:rPr>
          <w:highlight w:val="yellow"/>
        </w:rPr>
        <w:fldChar w:fldCharType="separate"/>
      </w:r>
      <w:r>
        <w:rPr>
          <w:rFonts w:hint="default" w:ascii="Arial" w:hAnsi="Arial" w:cs="Arial"/>
        </w:rPr>
        <w:t xml:space="preserve">• </w:t>
      </w:r>
      <w:r>
        <w:rPr>
          <w:rFonts w:eastAsia="宋体"/>
          <w:kern w:val="0"/>
        </w:rPr>
        <w:t>Dataset</w:t>
      </w:r>
      <w:r>
        <w:rPr>
          <w:rFonts w:eastAsia="宋体"/>
          <w:kern w:val="0"/>
          <w:lang w:val="en-GB" w:eastAsia="en-US"/>
        </w:rPr>
        <w:t xml:space="preserve"> identification</w:t>
      </w:r>
      <w:r>
        <w:rPr>
          <w:rFonts w:hint="eastAsia" w:eastAsia="宋体"/>
          <w:kern w:val="0"/>
        </w:rPr>
        <w:t>: A process/method of identifying a dataset for the common understanding between the NW and the UE</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_Toc28934 </w:instrText>
      </w:r>
      <w:r>
        <w:rPr>
          <w:highlight w:val="yellow"/>
        </w:rPr>
        <w:fldChar w:fldCharType="separate"/>
      </w:r>
      <w:r>
        <w:rPr>
          <w:rFonts w:hint="default" w:ascii="Arial" w:hAnsi="Arial" w:cs="Arial"/>
        </w:rPr>
        <w:t xml:space="preserve">• </w:t>
      </w:r>
      <w:r>
        <w:rPr>
          <w:rFonts w:hint="eastAsia"/>
        </w:rPr>
        <w:t>Note: The process/method of dataset identification may or may not be applicable.</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_Toc1407 </w:instrText>
      </w:r>
      <w:r>
        <w:rPr>
          <w:highlight w:val="yellow"/>
        </w:rPr>
        <w:fldChar w:fldCharType="separate"/>
      </w:r>
      <w:r>
        <w:rPr>
          <w:rFonts w:hint="default" w:ascii="Arial" w:hAnsi="Arial" w:cs="Arial"/>
        </w:rPr>
        <w:t xml:space="preserve">• </w:t>
      </w:r>
      <w:r>
        <w:rPr>
          <w:rFonts w:hint="eastAsia"/>
        </w:rPr>
        <w:t>Note: Information regarding the dataset may be shared during dataset identification.</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_Toc852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6: </w:t>
      </w:r>
      <w:r>
        <w:rPr>
          <w:lang w:val="en-US"/>
        </w:rPr>
        <w:t>Model identification process via over-the-air signaling should always be accompanied by the model transfer</w:t>
      </w:r>
      <w:r>
        <w:rPr>
          <w:rFonts w:hint="eastAsia"/>
          <w:lang w:val="en-US"/>
        </w:rPr>
        <w:t>, model description information</w:t>
      </w:r>
      <w:r>
        <w:rPr>
          <w:rFonts w:hint="eastAsia"/>
          <w:lang w:val="en-US" w:eastAsia="zh-CN"/>
        </w:rPr>
        <w:t>,</w:t>
      </w:r>
      <w:r>
        <w:rPr>
          <w:rFonts w:hint="eastAsia"/>
          <w:lang w:val="en-US"/>
        </w:rPr>
        <w:t xml:space="preserve"> and </w:t>
      </w:r>
      <w:r>
        <w:rPr>
          <w:lang w:val="en-US"/>
        </w:rPr>
        <w:t>model ID assignment.</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_Toc18505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7: </w:t>
      </w:r>
      <w:r>
        <w:rPr>
          <w:lang w:val="en-US"/>
        </w:rPr>
        <w:t>For model identification of UE-side or UE-part of two-sided models, categorize model identification types as follows, and further study relevant aspects, necessity, and specification impact.</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_Toc11644 </w:instrText>
      </w:r>
      <w:r>
        <w:rPr>
          <w:highlight w:val="yellow"/>
        </w:rPr>
        <w:fldChar w:fldCharType="separate"/>
      </w:r>
      <w:r>
        <w:rPr>
          <w:rFonts w:hint="default" w:ascii="Arial" w:hAnsi="Arial" w:cs="Arial"/>
        </w:rPr>
        <w:t xml:space="preserve">• </w:t>
      </w:r>
      <w:r>
        <w:t>Type A: Model is identified to NW (if applicable) and UE (if applicable) without over-the-air signaling.</w:t>
      </w:r>
      <w:r>
        <w:rPr>
          <w:highlight w:val="yellow"/>
        </w:rPr>
        <w:fldChar w:fldCharType="end"/>
      </w:r>
    </w:p>
    <w:p>
      <w:pPr>
        <w:pStyle w:val="7"/>
        <w:tabs>
          <w:tab w:val="right" w:pos="9660"/>
        </w:tabs>
      </w:pPr>
      <w:r>
        <w:rPr>
          <w:highlight w:val="yellow"/>
        </w:rPr>
        <w:fldChar w:fldCharType="begin"/>
      </w:r>
      <w:r>
        <w:rPr>
          <w:highlight w:val="yellow"/>
        </w:rPr>
        <w:instrText xml:space="preserve"> HYPERLINK \l _Toc21345 </w:instrText>
      </w:r>
      <w:r>
        <w:rPr>
          <w:highlight w:val="yellow"/>
        </w:rPr>
        <w:fldChar w:fldCharType="separate"/>
      </w:r>
      <w:r>
        <w:rPr>
          <w:rFonts w:hint="default" w:ascii="Courier New" w:hAnsi="Courier New" w:cs="Courier New"/>
        </w:rPr>
        <w:t xml:space="preserve">o </w:t>
      </w:r>
      <w:r>
        <w:t xml:space="preserve">The model is assigned with a </w:t>
      </w:r>
      <w:r>
        <w:rPr>
          <w:rFonts w:hint="eastAsia"/>
        </w:rPr>
        <w:t xml:space="preserve">global </w:t>
      </w:r>
      <w:r>
        <w:t>‘</w:t>
      </w:r>
      <w:r>
        <w:rPr>
          <w:rFonts w:hint="eastAsia"/>
        </w:rPr>
        <w:t>unique</w:t>
      </w:r>
      <w:r>
        <w:t>’</w:t>
      </w:r>
      <w:r>
        <w:rPr>
          <w:rFonts w:hint="eastAsia"/>
        </w:rPr>
        <w:t xml:space="preserve"> </w:t>
      </w:r>
      <w:r>
        <w:t xml:space="preserve">model ID during the model identification, which may be used in over-the-air signaling after </w:t>
      </w:r>
      <w:r>
        <w:rPr>
          <w:rFonts w:hint="eastAsia"/>
        </w:rPr>
        <w:t xml:space="preserve">the </w:t>
      </w:r>
      <w:r>
        <w:t>model identification</w:t>
      </w:r>
      <w:r>
        <w:rPr>
          <w:rFonts w:hint="eastAsia"/>
        </w:rPr>
        <w:t xml:space="preserve"> process</w:t>
      </w:r>
      <w:r>
        <w:t>.</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_Toc19495 </w:instrText>
      </w:r>
      <w:r>
        <w:rPr>
          <w:highlight w:val="yellow"/>
        </w:rPr>
        <w:fldChar w:fldCharType="separate"/>
      </w:r>
      <w:r>
        <w:rPr>
          <w:rFonts w:hint="default" w:ascii="Arial" w:hAnsi="Arial" w:cs="Arial"/>
        </w:rPr>
        <w:t xml:space="preserve">• </w:t>
      </w:r>
      <w:r>
        <w:t>Type B: Model is identified from UE to NW via over-the-air signaling.</w:t>
      </w:r>
      <w:r>
        <w:rPr>
          <w:highlight w:val="yellow"/>
        </w:rPr>
        <w:fldChar w:fldCharType="end"/>
      </w:r>
    </w:p>
    <w:p>
      <w:pPr>
        <w:pStyle w:val="7"/>
        <w:tabs>
          <w:tab w:val="right" w:pos="9660"/>
        </w:tabs>
      </w:pPr>
      <w:r>
        <w:rPr>
          <w:highlight w:val="yellow"/>
        </w:rPr>
        <w:fldChar w:fldCharType="begin"/>
      </w:r>
      <w:r>
        <w:rPr>
          <w:highlight w:val="yellow"/>
        </w:rPr>
        <w:instrText xml:space="preserve"> HYPERLINK \l _Toc9273 </w:instrText>
      </w:r>
      <w:r>
        <w:rPr>
          <w:highlight w:val="yellow"/>
        </w:rPr>
        <w:fldChar w:fldCharType="separate"/>
      </w:r>
      <w:r>
        <w:rPr>
          <w:rFonts w:hint="default" w:ascii="Courier New" w:hAnsi="Courier New" w:cs="Courier New"/>
        </w:rPr>
        <w:t xml:space="preserve">o </w:t>
      </w:r>
      <w:r>
        <w:rPr>
          <w:rFonts w:hint="eastAsia"/>
        </w:rPr>
        <w:t>A model is transferred from a UE to network. The corresponding model description information</w:t>
      </w:r>
      <w:r>
        <w:t xml:space="preserve"> </w:t>
      </w:r>
      <w:r>
        <w:rPr>
          <w:rFonts w:hint="eastAsia"/>
        </w:rPr>
        <w:t>(e.g., applicable conditions of the model) about the model is also provided along with the model transfer.</w:t>
      </w:r>
      <w:r>
        <w:rPr>
          <w:highlight w:val="yellow"/>
        </w:rPr>
        <w:fldChar w:fldCharType="end"/>
      </w:r>
    </w:p>
    <w:p>
      <w:pPr>
        <w:pStyle w:val="7"/>
        <w:tabs>
          <w:tab w:val="right" w:pos="9660"/>
        </w:tabs>
      </w:pPr>
      <w:r>
        <w:rPr>
          <w:highlight w:val="yellow"/>
        </w:rPr>
        <w:fldChar w:fldCharType="begin"/>
      </w:r>
      <w:r>
        <w:rPr>
          <w:highlight w:val="yellow"/>
        </w:rPr>
        <w:instrText xml:space="preserve"> HYPERLINK \l _Toc3088 </w:instrText>
      </w:r>
      <w:r>
        <w:rPr>
          <w:highlight w:val="yellow"/>
        </w:rPr>
        <w:fldChar w:fldCharType="separate"/>
      </w:r>
      <w:r>
        <w:rPr>
          <w:rFonts w:hint="default" w:ascii="Courier New" w:hAnsi="Courier New" w:cs="Courier New"/>
        </w:rPr>
        <w:t xml:space="preserve">o </w:t>
      </w:r>
      <w:r>
        <w:rPr>
          <w:rFonts w:hint="eastAsia"/>
        </w:rPr>
        <w:t xml:space="preserve">The model is assigned with a global </w:t>
      </w:r>
      <w:r>
        <w:t>‘</w:t>
      </w:r>
      <w:r>
        <w:rPr>
          <w:rFonts w:hint="eastAsia"/>
        </w:rPr>
        <w:t>unique</w:t>
      </w:r>
      <w:r>
        <w:t>’</w:t>
      </w:r>
      <w:r>
        <w:rPr>
          <w:rFonts w:hint="eastAsia"/>
        </w:rPr>
        <w:t xml:space="preserve"> model ID by NW side.</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_Toc23462 </w:instrText>
      </w:r>
      <w:r>
        <w:rPr>
          <w:highlight w:val="yellow"/>
        </w:rPr>
        <w:fldChar w:fldCharType="separate"/>
      </w:r>
      <w:r>
        <w:rPr>
          <w:rFonts w:hint="default" w:ascii="Arial" w:hAnsi="Arial" w:cs="Arial"/>
        </w:rPr>
        <w:t xml:space="preserve">• </w:t>
      </w:r>
      <w:r>
        <w:t>Type C: Model is identified from NW to UE via over-the-air signaling.</w:t>
      </w:r>
      <w:r>
        <w:rPr>
          <w:highlight w:val="yellow"/>
        </w:rPr>
        <w:fldChar w:fldCharType="end"/>
      </w:r>
    </w:p>
    <w:p>
      <w:pPr>
        <w:pStyle w:val="7"/>
        <w:tabs>
          <w:tab w:val="right" w:pos="9660"/>
        </w:tabs>
      </w:pPr>
      <w:r>
        <w:rPr>
          <w:highlight w:val="yellow"/>
        </w:rPr>
        <w:fldChar w:fldCharType="begin"/>
      </w:r>
      <w:r>
        <w:rPr>
          <w:highlight w:val="yellow"/>
        </w:rPr>
        <w:instrText xml:space="preserve"> HYPERLINK \l _Toc5574 </w:instrText>
      </w:r>
      <w:r>
        <w:rPr>
          <w:highlight w:val="yellow"/>
        </w:rPr>
        <w:fldChar w:fldCharType="separate"/>
      </w:r>
      <w:r>
        <w:rPr>
          <w:rFonts w:hint="default" w:ascii="Courier New" w:hAnsi="Courier New" w:cs="Courier New"/>
        </w:rPr>
        <w:t xml:space="preserve">o </w:t>
      </w:r>
      <w:r>
        <w:rPr>
          <w:rFonts w:hint="eastAsia"/>
        </w:rPr>
        <w:t>A model is transferred from network to a UE. The corresponding model description information (e.g., applicable conditions of the model) about the model is provided along with the model transfer.</w:t>
      </w:r>
      <w:r>
        <w:rPr>
          <w:highlight w:val="yellow"/>
        </w:rPr>
        <w:fldChar w:fldCharType="end"/>
      </w:r>
    </w:p>
    <w:p>
      <w:pPr>
        <w:pStyle w:val="7"/>
        <w:tabs>
          <w:tab w:val="right" w:pos="9660"/>
        </w:tabs>
      </w:pPr>
      <w:r>
        <w:rPr>
          <w:highlight w:val="yellow"/>
        </w:rPr>
        <w:fldChar w:fldCharType="begin"/>
      </w:r>
      <w:r>
        <w:rPr>
          <w:highlight w:val="yellow"/>
        </w:rPr>
        <w:instrText xml:space="preserve"> HYPERLINK \l _Toc29230 </w:instrText>
      </w:r>
      <w:r>
        <w:rPr>
          <w:highlight w:val="yellow"/>
        </w:rPr>
        <w:fldChar w:fldCharType="separate"/>
      </w:r>
      <w:r>
        <w:rPr>
          <w:rFonts w:hint="default" w:ascii="Courier New" w:hAnsi="Courier New" w:cs="Courier New"/>
        </w:rPr>
        <w:t xml:space="preserve">o </w:t>
      </w:r>
      <w:r>
        <w:rPr>
          <w:rFonts w:hint="eastAsia"/>
        </w:rPr>
        <w:t>A</w:t>
      </w:r>
      <w:r>
        <w:t xml:space="preserve"> global ‘unique’ model ID to the model is also provided to UE</w:t>
      </w:r>
      <w:r>
        <w:rPr>
          <w:rFonts w:hint="eastAsia"/>
        </w:rPr>
        <w:t xml:space="preserve"> from network side.</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_Toc27724 </w:instrText>
      </w:r>
      <w:r>
        <w:rPr>
          <w:highlight w:val="yellow"/>
        </w:rPr>
        <w:fldChar w:fldCharType="separate"/>
      </w:r>
      <w:r>
        <w:rPr>
          <w:rFonts w:hint="default" w:ascii="Arial" w:hAnsi="Arial" w:cs="Arial"/>
        </w:rPr>
        <w:t xml:space="preserve">• </w:t>
      </w:r>
      <w:r>
        <w:rPr>
          <w:rFonts w:hint="eastAsia"/>
        </w:rPr>
        <w:t>FFS: UE capabilities to support the model identification process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_Toc221 </w:instrText>
      </w:r>
      <w:r>
        <w:rPr>
          <w:highlight w:val="yellow"/>
        </w:rPr>
        <w:fldChar w:fldCharType="separate"/>
      </w:r>
      <w:r>
        <w:rPr>
          <w:rFonts w:hint="default" w:ascii="Arial" w:hAnsi="Arial" w:cs="Arial"/>
        </w:rPr>
        <w:t xml:space="preserve">• </w:t>
      </w:r>
      <w:r>
        <w:t>Note: This does not imply that model identification is necessary.</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_Toc26527 </w:instrText>
      </w:r>
      <w:r>
        <w:rPr>
          <w:highlight w:val="yellow"/>
        </w:rPr>
        <w:fldChar w:fldCharType="separate"/>
      </w:r>
      <w:r>
        <w:rPr>
          <w:rFonts w:hint="default" w:ascii="Arial" w:hAnsi="Arial" w:cs="Arial"/>
        </w:rPr>
        <w:t xml:space="preserve">• </w:t>
      </w:r>
      <w:r>
        <w:rPr>
          <w:rFonts w:hint="eastAsia"/>
        </w:rPr>
        <w:t>Note: Model identification process may have specification impacts on</w:t>
      </w:r>
      <w:r>
        <w:t xml:space="preserve"> other WGs including SA</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_Toc32366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8: </w:t>
      </w:r>
      <w:r>
        <w:rPr>
          <w:rFonts w:hint="eastAsia"/>
          <w:lang w:val="en-US"/>
        </w:rPr>
        <w:t>The signaling framework for UE functionality/model alignment should consider various options to be compatible with future extensions to the rapid development of AI/ML technologies.</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_Toc28526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9: </w:t>
      </w:r>
      <w:r>
        <w:rPr>
          <w:rFonts w:hint="eastAsia"/>
          <w:lang w:val="en-US"/>
        </w:rPr>
        <w:t>Further study the UE capability report for an AI/ML-enabled feature, including the following aspects: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_Toc30741 </w:instrText>
      </w:r>
      <w:r>
        <w:rPr>
          <w:highlight w:val="yellow"/>
        </w:rPr>
        <w:fldChar w:fldCharType="separate"/>
      </w:r>
      <w:r>
        <w:rPr>
          <w:rFonts w:hint="default" w:ascii="Arial" w:hAnsi="Arial" w:eastAsia="宋体" w:cs="Arial"/>
          <w:kern w:val="0"/>
        </w:rPr>
        <w:t xml:space="preserve">• </w:t>
      </w:r>
      <w:r>
        <w:rPr>
          <w:rFonts w:eastAsia="宋体"/>
          <w:kern w:val="0"/>
        </w:rPr>
        <w:t>Whether applicable conditions of a functionality is determined during the UE capability report or after the UE capability report;</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_Toc5982 </w:instrText>
      </w:r>
      <w:r>
        <w:rPr>
          <w:highlight w:val="yellow"/>
        </w:rPr>
        <w:fldChar w:fldCharType="separate"/>
      </w:r>
      <w:r>
        <w:rPr>
          <w:rFonts w:hint="default" w:ascii="Arial" w:hAnsi="Arial" w:eastAsia="宋体" w:cs="Arial"/>
          <w:kern w:val="0"/>
        </w:rPr>
        <w:t xml:space="preserve">• </w:t>
      </w:r>
      <w:r>
        <w:rPr>
          <w:rFonts w:eastAsia="宋体"/>
          <w:kern w:val="0"/>
        </w:rPr>
        <w:t>Whether the model can be deployed before or after the UE capability report;</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_Toc26931 </w:instrText>
      </w:r>
      <w:r>
        <w:rPr>
          <w:highlight w:val="yellow"/>
        </w:rPr>
        <w:fldChar w:fldCharType="separate"/>
      </w:r>
      <w:r>
        <w:rPr>
          <w:rFonts w:hint="default" w:ascii="Arial" w:hAnsi="Arial" w:eastAsia="宋体" w:cs="Arial"/>
          <w:kern w:val="0"/>
        </w:rPr>
        <w:t xml:space="preserve">• </w:t>
      </w:r>
      <w:r>
        <w:rPr>
          <w:rFonts w:eastAsia="宋体"/>
          <w:kern w:val="0"/>
        </w:rPr>
        <w:t>Whether functionality/model can be configured by NW(i.e., via model transfer) after the UE capability report;</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_Toc4693 </w:instrText>
      </w:r>
      <w:r>
        <w:rPr>
          <w:highlight w:val="yellow"/>
        </w:rPr>
        <w:fldChar w:fldCharType="separate"/>
      </w:r>
      <w:r>
        <w:rPr>
          <w:rFonts w:hint="default" w:ascii="Arial" w:hAnsi="Arial" w:eastAsia="宋体" w:cs="Arial"/>
          <w:kern w:val="0"/>
        </w:rPr>
        <w:t xml:space="preserve">• </w:t>
      </w:r>
      <w:r>
        <w:rPr>
          <w:rFonts w:eastAsia="宋体"/>
          <w:bCs/>
          <w:i/>
          <w:iCs/>
          <w:kern w:val="0"/>
        </w:rPr>
        <w:t>How to report the UE capability f</w:t>
      </w:r>
      <w:bookmarkStart w:id="189" w:name="_GoBack"/>
      <w:bookmarkEnd w:id="189"/>
      <w:r>
        <w:rPr>
          <w:rFonts w:eastAsia="宋体"/>
          <w:bCs/>
          <w:i/>
          <w:iCs/>
          <w:kern w:val="0"/>
        </w:rPr>
        <w:t>or the model that is already identified before.</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_Toc29179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10: </w:t>
      </w:r>
      <w:r>
        <w:rPr>
          <w:rFonts w:hint="eastAsia"/>
          <w:lang w:val="en-US"/>
        </w:rPr>
        <w:t>Further study the solutions to report UE capability for an AI/ML-enabled feature, at least including the following options: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_Toc23827 </w:instrText>
      </w:r>
      <w:r>
        <w:rPr>
          <w:highlight w:val="yellow"/>
        </w:rPr>
        <w:fldChar w:fldCharType="separate"/>
      </w:r>
      <w:r>
        <w:rPr>
          <w:rFonts w:hint="default" w:ascii="Arial" w:hAnsi="Arial" w:cs="Arial"/>
        </w:rPr>
        <w:t xml:space="preserve">• </w:t>
      </w:r>
      <w:r>
        <w:rPr>
          <w:rFonts w:hint="eastAsia"/>
        </w:rPr>
        <w:t>Option 1: UE indicates its supported candidate values for each condition</w:t>
      </w:r>
      <w:r>
        <w:rPr>
          <w:rFonts w:hint="eastAsia"/>
          <w:lang w:val="en-US" w:eastAsia="zh-CN"/>
        </w:rPr>
        <w:t xml:space="preserve"> </w:t>
      </w:r>
      <w:r>
        <w:rPr>
          <w:rFonts w:hint="eastAsia"/>
        </w:rPr>
        <w:t>(or component) of an AI/ML-enabled feature as the legacy UE capability report.</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_Toc27682 </w:instrText>
      </w:r>
      <w:r>
        <w:rPr>
          <w:highlight w:val="yellow"/>
        </w:rPr>
        <w:fldChar w:fldCharType="separate"/>
      </w:r>
      <w:r>
        <w:rPr>
          <w:rFonts w:hint="default" w:ascii="Arial" w:hAnsi="Arial" w:cs="Arial"/>
        </w:rPr>
        <w:t xml:space="preserve">• </w:t>
      </w:r>
      <w:r>
        <w:rPr>
          <w:rFonts w:hint="eastAsia"/>
        </w:rPr>
        <w:t>Option 2: UE indicates its supported functionality of an AI/ML-enabled feature in a UE capability report, where the applicable conditions of a functionality are indicated by a combination of the conditions.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_Toc17060 </w:instrText>
      </w:r>
      <w:r>
        <w:rPr>
          <w:highlight w:val="yellow"/>
        </w:rPr>
        <w:fldChar w:fldCharType="separate"/>
      </w:r>
      <w:r>
        <w:rPr>
          <w:rFonts w:hint="default" w:ascii="Arial" w:hAnsi="Arial" w:cs="Arial"/>
        </w:rPr>
        <w:t xml:space="preserve">• </w:t>
      </w:r>
      <w:r>
        <w:rPr>
          <w:rFonts w:hint="eastAsia"/>
        </w:rPr>
        <w:t>Option 3: UE indicates its supported model IDs</w:t>
      </w:r>
      <w:r>
        <w:rPr>
          <w:rFonts w:hint="eastAsia"/>
          <w:lang w:val="en-US" w:eastAsia="zh-CN"/>
        </w:rPr>
        <w:t xml:space="preserve"> </w:t>
      </w:r>
      <w:r>
        <w:rPr>
          <w:rFonts w:hint="eastAsia"/>
        </w:rPr>
        <w:t xml:space="preserve">(e.g., global </w:t>
      </w:r>
      <w:r>
        <w:t>‘</w:t>
      </w:r>
      <w:r>
        <w:rPr>
          <w:rFonts w:hint="eastAsia"/>
        </w:rPr>
        <w:t>unique</w:t>
      </w:r>
      <w:r>
        <w:t>’</w:t>
      </w:r>
      <w:r>
        <w:rPr>
          <w:rFonts w:hint="eastAsia"/>
        </w:rPr>
        <w:t xml:space="preserve"> model IDs) of an AI/ML-enabled feature in a UE capability report.</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_Toc5631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11: </w:t>
      </w:r>
      <w:r>
        <w:rPr>
          <w:rFonts w:hint="eastAsia"/>
          <w:lang w:val="en-US"/>
        </w:rPr>
        <w:t>Support of NW to assign a local identifier to the functionality/model reported by UE or configured by NW</w:t>
      </w:r>
      <w:r>
        <w:rPr>
          <w:rFonts w:hint="eastAsia"/>
          <w:lang w:val="en-US" w:eastAsia="zh-CN"/>
        </w:rPr>
        <w:t xml:space="preserve"> </w:t>
      </w:r>
      <w:r>
        <w:rPr>
          <w:rFonts w:hint="eastAsia"/>
          <w:lang w:val="en-US"/>
        </w:rPr>
        <w:t>(i.e., via model transfer). From network perspective, the local identifier is mapped to a function unit operated at UE that is not transparent to network no matter the function unit is associated with a functionality or a model.</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_Toc12666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12: </w:t>
      </w:r>
      <w:r>
        <w:rPr>
          <w:lang w:val="en-US"/>
        </w:rPr>
        <w:t xml:space="preserve">Totally different signaling frameworks for functionality-based LCM and model-ID-based LCM </w:t>
      </w:r>
      <w:r>
        <w:rPr>
          <w:rFonts w:hint="eastAsia"/>
          <w:lang w:val="en-US"/>
        </w:rPr>
        <w:t>are</w:t>
      </w:r>
      <w:r>
        <w:rPr>
          <w:lang w:val="en-US"/>
        </w:rPr>
        <w:t xml:space="preserve"> not </w:t>
      </w:r>
      <w:r>
        <w:rPr>
          <w:rFonts w:hint="eastAsia"/>
          <w:lang w:val="en-US" w:eastAsia="zh-CN"/>
        </w:rPr>
        <w:t>preferred</w:t>
      </w:r>
      <w:r>
        <w:rPr>
          <w:rFonts w:hint="eastAsia"/>
          <w:lang w:val="en-US"/>
        </w:rPr>
        <w:t xml:space="preserve">. Support of a unified signaling framework based on the local identifier assigned by NW for various LCM procedures, </w:t>
      </w:r>
      <w:r>
        <w:rPr>
          <w:rFonts w:hint="eastAsia" w:eastAsia="微软雅黑"/>
          <w:lang w:val="en-US"/>
        </w:rPr>
        <w:t>e.g., measurement report, performance monitoring, activation/deactivation, selection, or switching.</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_Toc4048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13: </w:t>
      </w:r>
      <w:r>
        <w:rPr>
          <w:rFonts w:hint="eastAsia"/>
          <w:lang w:val="en-US"/>
        </w:rPr>
        <w:t>RAN1 concludes the pros and cons of supporting “proprietary model” and “open-format model”. Then, RAN1 should send LS to other working groups (e.g., RAN2 and SA2) to check the feasibility of supporting open-format models.</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_Toc20011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14: </w:t>
      </w:r>
      <w:r>
        <w:rPr>
          <w:rFonts w:hint="eastAsia"/>
          <w:lang w:val="en-US"/>
        </w:rPr>
        <w:t>Leave the discussion on model storage and delivery options to RAN2. RAN1 can proceed current work assuming model delivery may be from a 3GPP entity</w:t>
      </w:r>
      <w:r>
        <w:rPr>
          <w:lang w:val="en-US"/>
        </w:rPr>
        <w:t xml:space="preserve"> </w:t>
      </w:r>
      <w:r>
        <w:rPr>
          <w:rFonts w:hint="eastAsia"/>
          <w:lang w:val="en-US"/>
        </w:rPr>
        <w:t>(e.g., gNB, LMF</w:t>
      </w:r>
      <w:r>
        <w:rPr>
          <w:rFonts w:hint="eastAsia"/>
          <w:lang w:val="en-US" w:eastAsia="zh-CN"/>
        </w:rPr>
        <w:t>,</w:t>
      </w:r>
      <w:r>
        <w:rPr>
          <w:rFonts w:hint="eastAsia"/>
          <w:lang w:val="en-US"/>
        </w:rPr>
        <w:t xml:space="preserve"> and CN) or from a non-3GPP entity</w:t>
      </w:r>
      <w:r>
        <w:rPr>
          <w:lang w:val="en-US"/>
        </w:rPr>
        <w:t xml:space="preserve"> </w:t>
      </w:r>
      <w:r>
        <w:rPr>
          <w:rFonts w:hint="eastAsia"/>
          <w:lang w:val="en-US"/>
        </w:rPr>
        <w:t>(e.g.</w:t>
      </w:r>
      <w:r>
        <w:rPr>
          <w:rFonts w:hint="eastAsia"/>
          <w:lang w:val="en-US" w:eastAsia="zh-CN"/>
        </w:rPr>
        <w:t>,</w:t>
      </w:r>
      <w:r>
        <w:rPr>
          <w:rFonts w:hint="eastAsia"/>
          <w:lang w:val="en-US"/>
        </w:rPr>
        <w:t xml:space="preserve"> OAM, OTT).</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_Toc1019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15: </w:t>
      </w:r>
      <w:r>
        <w:rPr>
          <w:rFonts w:hint="eastAsia"/>
          <w:lang w:val="en-US"/>
        </w:rPr>
        <w:t>Model/functionality selection, activation, deactivation, switching and fallback operation</w:t>
      </w:r>
      <w:r>
        <w:rPr>
          <w:lang w:val="en-US"/>
        </w:rPr>
        <w:t xml:space="preserve"> </w:t>
      </w:r>
      <w:r>
        <w:rPr>
          <w:rFonts w:hint="eastAsia"/>
          <w:lang w:val="en-US"/>
        </w:rPr>
        <w:t>should</w:t>
      </w:r>
      <w:r>
        <w:rPr>
          <w:lang w:val="en-US"/>
        </w:rPr>
        <w:t xml:space="preserve"> be </w:t>
      </w:r>
      <w:r>
        <w:rPr>
          <w:rFonts w:hint="eastAsia"/>
          <w:lang w:val="en-US"/>
        </w:rPr>
        <w:t>discussed separately from performance monitoring.</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_Toc22808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16: </w:t>
      </w:r>
      <w:r>
        <w:rPr>
          <w:lang w:val="en-US"/>
        </w:rPr>
        <w:t>For UE-side/part model, depending on which side</w:t>
      </w:r>
      <w:r>
        <w:rPr>
          <w:rFonts w:hint="eastAsia"/>
          <w:lang w:val="en-US"/>
        </w:rPr>
        <w:t xml:space="preserve"> to calculate</w:t>
      </w:r>
      <w:r>
        <w:rPr>
          <w:lang w:val="en-US"/>
        </w:rPr>
        <w:t xml:space="preserve"> the monitoring metrics</w:t>
      </w:r>
      <w:r>
        <w:rPr>
          <w:rFonts w:hint="eastAsia"/>
          <w:lang w:val="en-US"/>
        </w:rPr>
        <w:t xml:space="preserve"> </w:t>
      </w:r>
      <w:r>
        <w:rPr>
          <w:lang w:val="en-US"/>
        </w:rPr>
        <w:t xml:space="preserve">and whether the monitoring metrics </w:t>
      </w:r>
      <w:r>
        <w:rPr>
          <w:rFonts w:hint="eastAsia"/>
          <w:lang w:val="en-US" w:eastAsia="zh-CN"/>
        </w:rPr>
        <w:t>are</w:t>
      </w:r>
      <w:r>
        <w:rPr>
          <w:lang w:val="en-US"/>
        </w:rPr>
        <w:t xml:space="preserve"> reported, further study following options: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_Toc23172 </w:instrText>
      </w:r>
      <w:r>
        <w:rPr>
          <w:highlight w:val="yellow"/>
        </w:rPr>
        <w:fldChar w:fldCharType="separate"/>
      </w:r>
      <w:r>
        <w:rPr>
          <w:rFonts w:hint="default" w:ascii="Arial" w:hAnsi="Arial" w:cs="Arial"/>
        </w:rPr>
        <w:t xml:space="preserve">• </w:t>
      </w:r>
      <w:r>
        <w:rPr>
          <w:rFonts w:hint="eastAsia"/>
        </w:rPr>
        <w:t>UE-side performance monitoring: monitoring metrics are calculated by UE, and the monitoring metrics are not reported to network side.</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_Toc26274 </w:instrText>
      </w:r>
      <w:r>
        <w:rPr>
          <w:highlight w:val="yellow"/>
        </w:rPr>
        <w:fldChar w:fldCharType="separate"/>
      </w:r>
      <w:r>
        <w:rPr>
          <w:rFonts w:hint="default" w:ascii="Arial" w:hAnsi="Arial" w:cs="Arial"/>
        </w:rPr>
        <w:t xml:space="preserve">• </w:t>
      </w:r>
      <w:r>
        <w:rPr>
          <w:rFonts w:hint="eastAsia"/>
        </w:rPr>
        <w:t>Network-side performance monitoring: monitoring metrics are calculated by network (with/without the potential to inform UE about the monitoring metrics).</w:t>
      </w:r>
      <w:r>
        <w:rPr>
          <w:highlight w:val="yellow"/>
        </w:rPr>
        <w:fldChar w:fldCharType="end"/>
      </w:r>
    </w:p>
    <w:p>
      <w:pPr>
        <w:pStyle w:val="13"/>
        <w:tabs>
          <w:tab w:val="right" w:pos="9660"/>
        </w:tabs>
      </w:pPr>
      <w:r>
        <w:rPr>
          <w:highlight w:val="yellow"/>
        </w:rPr>
        <w:fldChar w:fldCharType="begin"/>
      </w:r>
      <w:r>
        <w:rPr>
          <w:highlight w:val="yellow"/>
        </w:rPr>
        <w:instrText xml:space="preserve"> HYPERLINK \l _Toc6421 </w:instrText>
      </w:r>
      <w:r>
        <w:rPr>
          <w:highlight w:val="yellow"/>
        </w:rPr>
        <w:fldChar w:fldCharType="separate"/>
      </w:r>
      <w:r>
        <w:rPr>
          <w:rFonts w:hint="default" w:ascii="Arial" w:hAnsi="Arial" w:cs="Arial"/>
        </w:rPr>
        <w:t xml:space="preserve">• </w:t>
      </w:r>
      <w:r>
        <w:rPr>
          <w:rFonts w:hint="eastAsia"/>
        </w:rPr>
        <w:t>Hybrid performance monitoring: monitoring metrics are calculated by UE, and then the monitoring metrics are reported to network side.</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_Toc9607 </w:instrText>
      </w:r>
      <w:r>
        <w:rPr>
          <w:highlight w:val="yellow"/>
        </w:rPr>
        <w:fldChar w:fldCharType="separate"/>
      </w:r>
      <w:r>
        <w:rPr>
          <w:rFonts w:hint="eastAsia" w:ascii="Times New Roman" w:hAnsi="Times New Roman"/>
          <w:caps w:val="0"/>
          <w:smallCaps w:val="0"/>
          <w:strike w:val="0"/>
          <w:dstrike w:val="0"/>
          <w:vanish w:val="0"/>
          <w:spacing w:val="0"/>
          <w:position w:val="0"/>
          <w:vertAlign w:val="baseline"/>
          <w:lang w:val="en-US"/>
        </w:rPr>
        <w:t xml:space="preserve">Proposal 17: </w:t>
      </w:r>
      <w:r>
        <w:rPr>
          <w:rFonts w:hint="eastAsia"/>
          <w:lang w:val="en-US"/>
        </w:rPr>
        <w:t xml:space="preserve">Network should make final decision on </w:t>
      </w:r>
      <w:r>
        <w:rPr>
          <w:rFonts w:hint="eastAsia"/>
        </w:rPr>
        <w:t>selection, activation, deactivation, switching, and fallback</w:t>
      </w:r>
      <w:r>
        <w:rPr>
          <w:rFonts w:hint="eastAsia"/>
          <w:lang w:val="en-US" w:eastAsia="zh-CN"/>
        </w:rPr>
        <w:t xml:space="preserve"> operations of </w:t>
      </w:r>
      <w:r>
        <w:rPr>
          <w:rFonts w:hint="eastAsia"/>
          <w:lang w:val="en-US"/>
        </w:rPr>
        <w:t>the function unit (either a functionality or a model operated at UE) that is not transparent to network.</w:t>
      </w:r>
      <w:r>
        <w:rPr>
          <w:highlight w:val="yellow"/>
        </w:rPr>
        <w:fldChar w:fldCharType="end"/>
      </w:r>
    </w:p>
    <w:p>
      <w:pPr>
        <w:pStyle w:val="11"/>
        <w:tabs>
          <w:tab w:val="right" w:pos="9660"/>
        </w:tabs>
      </w:pPr>
      <w:r>
        <w:rPr>
          <w:highlight w:val="yellow"/>
        </w:rPr>
        <w:fldChar w:fldCharType="begin"/>
      </w:r>
      <w:r>
        <w:rPr>
          <w:highlight w:val="yellow"/>
        </w:rPr>
        <w:instrText xml:space="preserve"> HYPERLINK \l _Toc23615 </w:instrText>
      </w:r>
      <w:r>
        <w:rPr>
          <w:highlight w:val="yellow"/>
        </w:rPr>
        <w:fldChar w:fldCharType="separate"/>
      </w:r>
      <w:r>
        <w:rPr>
          <w:rFonts w:hint="eastAsia" w:ascii="Times New Roman" w:hAnsi="Times New Roman" w:eastAsia="微软雅黑"/>
          <w:caps w:val="0"/>
          <w:smallCaps w:val="0"/>
          <w:strike w:val="0"/>
          <w:dstrike w:val="0"/>
          <w:vanish w:val="0"/>
          <w:spacing w:val="0"/>
          <w:kern w:val="0"/>
          <w:position w:val="0"/>
          <w:vertAlign w:val="baseline"/>
        </w:rPr>
        <w:t xml:space="preserve">Proposal 18: </w:t>
      </w:r>
      <w:r>
        <w:rPr>
          <w:rFonts w:hint="eastAsia"/>
          <w:lang w:val="en-US"/>
        </w:rPr>
        <w:t>UE can indicate its applicable functionalities/models by indicating the local identifier associated with the functionalities/models.</w:t>
      </w:r>
      <w:r>
        <w:rPr>
          <w:highlight w:val="yellow"/>
        </w:rPr>
        <w:fldChar w:fldCharType="end"/>
      </w:r>
    </w:p>
    <w:p>
      <w:pPr>
        <w:spacing w:before="72" w:beforeLines="30" w:after="72" w:afterLines="30" w:line="288" w:lineRule="auto"/>
      </w:pPr>
      <w:r>
        <w:rPr>
          <w:highlight w:val="yellow"/>
        </w:rPr>
        <w:fldChar w:fldCharType="end"/>
      </w:r>
    </w:p>
    <w:p>
      <w:pPr>
        <w:pStyle w:val="2"/>
        <w:spacing w:before="72" w:beforeLines="30" w:after="72" w:afterLines="30" w:line="288" w:lineRule="auto"/>
        <w:rPr>
          <w:rFonts w:eastAsia="宋体"/>
        </w:rPr>
      </w:pPr>
      <w:r>
        <w:rPr>
          <w:rFonts w:hint="eastAsia" w:eastAsia="宋体"/>
        </w:rPr>
        <w:t>Reference</w:t>
      </w:r>
      <w:r>
        <w:rPr>
          <w:rFonts w:eastAsia="宋体"/>
        </w:rPr>
        <w:t>s</w:t>
      </w:r>
    </w:p>
    <w:p>
      <w:pPr>
        <w:pStyle w:val="30"/>
        <w:spacing w:before="72" w:beforeLines="30" w:after="72" w:afterLines="30" w:line="288" w:lineRule="auto"/>
        <w:ind w:left="363" w:hanging="363"/>
        <w:rPr>
          <w:szCs w:val="20"/>
        </w:rPr>
      </w:pPr>
      <w:bookmarkStart w:id="188" w:name="_Ref17466"/>
      <w:r>
        <w:rPr>
          <w:rFonts w:hint="eastAsia"/>
          <w:szCs w:val="20"/>
        </w:rPr>
        <w:t xml:space="preserve">RP-213599, New SI: Study on Artificial Intelligence (AI)/Machine Learning (ML) for NR Air Interface </w:t>
      </w:r>
    </w:p>
    <w:p>
      <w:pPr>
        <w:pStyle w:val="30"/>
        <w:spacing w:before="72" w:beforeLines="30" w:after="72" w:afterLines="30" w:line="288" w:lineRule="auto"/>
        <w:ind w:left="363" w:hanging="363"/>
        <w:rPr>
          <w:szCs w:val="20"/>
        </w:rPr>
      </w:pPr>
      <w:r>
        <w:rPr>
          <w:rFonts w:hint="eastAsia"/>
          <w:szCs w:val="20"/>
        </w:rPr>
        <w:t xml:space="preserve">Draft Report of 3GPP TSG RAN WG1 #110bis-e </w:t>
      </w:r>
    </w:p>
    <w:p>
      <w:pPr>
        <w:pStyle w:val="30"/>
        <w:spacing w:before="72" w:beforeLines="30" w:after="72" w:afterLines="30" w:line="288" w:lineRule="auto"/>
        <w:ind w:left="363" w:hanging="363"/>
        <w:rPr>
          <w:szCs w:val="20"/>
        </w:rPr>
      </w:pPr>
      <w:r>
        <w:rPr>
          <w:rFonts w:hint="eastAsia"/>
          <w:szCs w:val="20"/>
        </w:rPr>
        <w:t>Draft Report of 3GPP TSG RAN WG1 #111</w:t>
      </w:r>
    </w:p>
    <w:bookmarkEnd w:id="188"/>
    <w:p>
      <w:pPr>
        <w:pStyle w:val="30"/>
        <w:spacing w:before="72" w:beforeLines="30" w:after="72" w:afterLines="30" w:line="288" w:lineRule="auto"/>
        <w:ind w:left="363" w:hanging="363"/>
      </w:pPr>
      <w:r>
        <w:rPr>
          <w:rFonts w:hint="eastAsia"/>
          <w:szCs w:val="20"/>
        </w:rPr>
        <w:t>Draft Report of 3GPP TSG RAN WG1 #11</w:t>
      </w:r>
      <w:r>
        <w:rPr>
          <w:rFonts w:hint="eastAsia" w:eastAsia="宋体"/>
          <w:szCs w:val="20"/>
        </w:rPr>
        <w:t>2</w:t>
      </w:r>
    </w:p>
    <w:p>
      <w:pPr>
        <w:pStyle w:val="30"/>
        <w:spacing w:before="72" w:beforeLines="30" w:after="72" w:afterLines="30" w:line="288" w:lineRule="auto"/>
        <w:ind w:left="363" w:hanging="363"/>
      </w:pPr>
      <w:r>
        <w:rPr>
          <w:rFonts w:hint="eastAsia"/>
          <w:szCs w:val="20"/>
        </w:rPr>
        <w:t>Draft Report of 3GPP TSG RAN WG1 #11</w:t>
      </w:r>
      <w:r>
        <w:rPr>
          <w:rFonts w:hint="eastAsia" w:eastAsia="宋体"/>
          <w:szCs w:val="20"/>
        </w:rPr>
        <w:t>2bis-e</w:t>
      </w:r>
    </w:p>
    <w:p>
      <w:pPr>
        <w:spacing w:before="120" w:after="120"/>
      </w:pPr>
    </w:p>
    <w:p>
      <w:pPr>
        <w:spacing w:before="120" w:after="120"/>
      </w:pPr>
    </w:p>
    <w:sectPr>
      <w:headerReference r:id="rId5" w:type="first"/>
      <w:footerReference r:id="rId7" w:type="first"/>
      <w:headerReference r:id="rId4"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26"/>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2"/>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CC3621EA"/>
    <w:multiLevelType w:val="multilevel"/>
    <w:tmpl w:val="CC3621E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ADBAF6D"/>
    <w:multiLevelType w:val="multilevel"/>
    <w:tmpl w:val="0ADBAF6D"/>
    <w:lvl w:ilvl="0" w:tentative="0">
      <w:start w:val="0"/>
      <w:numFmt w:val="bullet"/>
      <w:lvlText w:val="-"/>
      <w:lvlJc w:val="left"/>
      <w:pPr>
        <w:ind w:left="1008" w:hanging="360"/>
      </w:pPr>
      <w:rPr>
        <w:rFonts w:hint="default" w:ascii="Times New Roman" w:hAnsi="Times New Roman" w:eastAsia="Times New Roman" w:cs="Times New Roman"/>
      </w:rPr>
    </w:lvl>
    <w:lvl w:ilvl="1" w:tentative="0">
      <w:start w:val="1"/>
      <w:numFmt w:val="bullet"/>
      <w:lvlText w:val="o"/>
      <w:lvlJc w:val="left"/>
      <w:pPr>
        <w:ind w:left="1728" w:hanging="360"/>
      </w:pPr>
      <w:rPr>
        <w:rFonts w:ascii="Courier New" w:hAnsi="Courier New" w:cs="Courier New"/>
      </w:rPr>
    </w:lvl>
    <w:lvl w:ilvl="2" w:tentative="0">
      <w:start w:val="1"/>
      <w:numFmt w:val="bullet"/>
      <w:lvlText w:val=""/>
      <w:lvlJc w:val="left"/>
      <w:pPr>
        <w:ind w:left="2448" w:hanging="360"/>
      </w:pPr>
      <w:rPr>
        <w:rFonts w:hint="default" w:ascii="Wingdings" w:hAnsi="Wingdings" w:cs="Wingdings"/>
      </w:rPr>
    </w:lvl>
    <w:lvl w:ilvl="3" w:tentative="0">
      <w:start w:val="1"/>
      <w:numFmt w:val="bullet"/>
      <w:lvlText w:val=""/>
      <w:lvlJc w:val="left"/>
      <w:pPr>
        <w:ind w:left="3168" w:hanging="360"/>
      </w:pPr>
      <w:rPr>
        <w:rFonts w:ascii="Symbol" w:hAnsi="Symbol" w:cs="Symbol"/>
      </w:rPr>
    </w:lvl>
    <w:lvl w:ilvl="4" w:tentative="0">
      <w:start w:val="1"/>
      <w:numFmt w:val="bullet"/>
      <w:lvlText w:val="o"/>
      <w:lvlJc w:val="left"/>
      <w:pPr>
        <w:ind w:left="3888" w:hanging="360"/>
      </w:pPr>
      <w:rPr>
        <w:rFonts w:hint="default" w:ascii="Courier New" w:hAnsi="Courier New" w:cs="Courier New"/>
      </w:rPr>
    </w:lvl>
    <w:lvl w:ilvl="5" w:tentative="0">
      <w:start w:val="1"/>
      <w:numFmt w:val="bullet"/>
      <w:lvlText w:val=""/>
      <w:lvlJc w:val="left"/>
      <w:pPr>
        <w:ind w:left="4608" w:hanging="360"/>
      </w:pPr>
      <w:rPr>
        <w:rFonts w:hint="default" w:ascii="Wingdings" w:hAnsi="Wingdings" w:cs="Wingdings"/>
      </w:rPr>
    </w:lvl>
    <w:lvl w:ilvl="6" w:tentative="0">
      <w:start w:val="1"/>
      <w:numFmt w:val="bullet"/>
      <w:lvlText w:val=""/>
      <w:lvlJc w:val="left"/>
      <w:pPr>
        <w:ind w:left="5328" w:hanging="360"/>
      </w:pPr>
      <w:rPr>
        <w:rFonts w:hint="default" w:ascii="Symbol" w:hAnsi="Symbol" w:cs="Symbol"/>
      </w:rPr>
    </w:lvl>
    <w:lvl w:ilvl="7" w:tentative="0">
      <w:start w:val="1"/>
      <w:numFmt w:val="bullet"/>
      <w:lvlText w:val="o"/>
      <w:lvlJc w:val="left"/>
      <w:pPr>
        <w:ind w:left="6048" w:hanging="360"/>
      </w:pPr>
      <w:rPr>
        <w:rFonts w:hint="default" w:ascii="Courier New" w:hAnsi="Courier New" w:cs="Courier New"/>
      </w:rPr>
    </w:lvl>
    <w:lvl w:ilvl="8" w:tentative="0">
      <w:start w:val="1"/>
      <w:numFmt w:val="bullet"/>
      <w:lvlText w:val=""/>
      <w:lvlJc w:val="left"/>
      <w:pPr>
        <w:ind w:left="6768" w:hanging="360"/>
      </w:pPr>
      <w:rPr>
        <w:rFonts w:hint="default" w:ascii="Wingdings" w:hAnsi="Wingdings" w:cs="Wingdings"/>
      </w:rPr>
    </w:lvl>
  </w:abstractNum>
  <w:abstractNum w:abstractNumId="4">
    <w:nsid w:val="0C176E27"/>
    <w:multiLevelType w:val="multilevel"/>
    <w:tmpl w:val="0C176E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38A582C"/>
    <w:multiLevelType w:val="multilevel"/>
    <w:tmpl w:val="138A582C"/>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5307FA3"/>
    <w:multiLevelType w:val="multilevel"/>
    <w:tmpl w:val="15307F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561534D"/>
    <w:multiLevelType w:val="multilevel"/>
    <w:tmpl w:val="156153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9E75C81"/>
    <w:multiLevelType w:val="multilevel"/>
    <w:tmpl w:val="19E75C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BA1242E"/>
    <w:multiLevelType w:val="multilevel"/>
    <w:tmpl w:val="1BA124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E25C1A0"/>
    <w:multiLevelType w:val="singleLevel"/>
    <w:tmpl w:val="1E25C1A0"/>
    <w:lvl w:ilvl="0" w:tentative="0">
      <w:start w:val="1"/>
      <w:numFmt w:val="bullet"/>
      <w:pStyle w:val="29"/>
      <w:lvlText w:val="◦"/>
      <w:lvlJc w:val="left"/>
      <w:pPr>
        <w:ind w:left="420" w:hanging="420"/>
      </w:pPr>
      <w:rPr>
        <w:rFonts w:hint="default" w:ascii="Arial" w:hAnsi="Arial" w:cs="Arial"/>
      </w:rPr>
    </w:lvl>
  </w:abstractNum>
  <w:abstractNum w:abstractNumId="11">
    <w:nsid w:val="21C372F9"/>
    <w:multiLevelType w:val="multilevel"/>
    <w:tmpl w:val="21C372F9"/>
    <w:lvl w:ilvl="0" w:tentative="0">
      <w:start w:val="2"/>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41795E7"/>
    <w:multiLevelType w:val="singleLevel"/>
    <w:tmpl w:val="241795E7"/>
    <w:lvl w:ilvl="0" w:tentative="0">
      <w:start w:val="1"/>
      <w:numFmt w:val="bullet"/>
      <w:pStyle w:val="28"/>
      <w:lvlText w:val="◦"/>
      <w:lvlJc w:val="left"/>
      <w:pPr>
        <w:ind w:left="420" w:hanging="420"/>
      </w:pPr>
      <w:rPr>
        <w:rFonts w:hint="default" w:ascii="Arial" w:hAnsi="Arial" w:cs="Arial"/>
      </w:rPr>
    </w:lvl>
  </w:abstractNum>
  <w:abstractNum w:abstractNumId="13">
    <w:nsid w:val="28544DF2"/>
    <w:multiLevelType w:val="singleLevel"/>
    <w:tmpl w:val="28544DF2"/>
    <w:lvl w:ilvl="0" w:tentative="0">
      <w:start w:val="1"/>
      <w:numFmt w:val="decimal"/>
      <w:pStyle w:val="49"/>
      <w:suff w:val="nothing"/>
      <w:lvlText w:val="Observation %1:"/>
      <w:lvlJc w:val="left"/>
      <w:pPr>
        <w:ind w:left="0" w:firstLine="403"/>
      </w:pPr>
      <w:rPr>
        <w:rFonts w:hint="default"/>
      </w:rPr>
    </w:lvl>
  </w:abstractNum>
  <w:abstractNum w:abstractNumId="14">
    <w:nsid w:val="29975262"/>
    <w:multiLevelType w:val="multilevel"/>
    <w:tmpl w:val="29975262"/>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abstractNum w:abstractNumId="15">
    <w:nsid w:val="2D6B1FEC"/>
    <w:multiLevelType w:val="multilevel"/>
    <w:tmpl w:val="2D6B1F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4AA266D"/>
    <w:multiLevelType w:val="multilevel"/>
    <w:tmpl w:val="34AA266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39C244D3"/>
    <w:multiLevelType w:val="multilevel"/>
    <w:tmpl w:val="39C244D3"/>
    <w:lvl w:ilvl="0" w:tentative="0">
      <w:start w:val="1"/>
      <w:numFmt w:val="bullet"/>
      <w:lvlText w:val=""/>
      <w:lvlJc w:val="left"/>
      <w:pPr>
        <w:ind w:left="540" w:hanging="420"/>
      </w:pPr>
      <w:rPr>
        <w:rFonts w:ascii="Symbol" w:hAnsi="Symbol" w:cs="Symbol"/>
      </w:rPr>
    </w:lvl>
    <w:lvl w:ilvl="1" w:tentative="0">
      <w:start w:val="1"/>
      <w:numFmt w:val="bullet"/>
      <w:lvlText w:val=""/>
      <w:lvlJc w:val="left"/>
      <w:pPr>
        <w:ind w:left="960" w:hanging="420"/>
      </w:pPr>
      <w:rPr>
        <w:rFonts w:hint="default" w:ascii="Wingdings" w:hAnsi="Wingdings" w:cs="Wingdings"/>
      </w:rPr>
    </w:lvl>
    <w:lvl w:ilvl="2" w:tentative="0">
      <w:start w:val="1"/>
      <w:numFmt w:val="bullet"/>
      <w:lvlText w:val=""/>
      <w:lvlJc w:val="left"/>
      <w:pPr>
        <w:ind w:left="1380" w:hanging="420"/>
      </w:pPr>
      <w:rPr>
        <w:rFonts w:hint="default" w:ascii="Wingdings" w:hAnsi="Wingdings" w:cs="Wingdings"/>
      </w:rPr>
    </w:lvl>
    <w:lvl w:ilvl="3" w:tentative="0">
      <w:start w:val="1"/>
      <w:numFmt w:val="bullet"/>
      <w:lvlText w:val=""/>
      <w:lvlJc w:val="left"/>
      <w:pPr>
        <w:ind w:left="1800" w:hanging="420"/>
      </w:pPr>
      <w:rPr>
        <w:rFonts w:hint="default" w:ascii="Wingdings" w:hAnsi="Wingdings" w:cs="Wingdings"/>
      </w:rPr>
    </w:lvl>
    <w:lvl w:ilvl="4" w:tentative="0">
      <w:start w:val="1"/>
      <w:numFmt w:val="bullet"/>
      <w:lvlText w:val=""/>
      <w:lvlJc w:val="left"/>
      <w:pPr>
        <w:ind w:left="2220" w:hanging="420"/>
      </w:pPr>
      <w:rPr>
        <w:rFonts w:hint="default" w:ascii="Wingdings" w:hAnsi="Wingdings" w:cs="Wingdings"/>
      </w:rPr>
    </w:lvl>
    <w:lvl w:ilvl="5" w:tentative="0">
      <w:start w:val="1"/>
      <w:numFmt w:val="bullet"/>
      <w:lvlText w:val=""/>
      <w:lvlJc w:val="left"/>
      <w:pPr>
        <w:ind w:left="2640" w:hanging="420"/>
      </w:pPr>
      <w:rPr>
        <w:rFonts w:hint="default" w:ascii="Wingdings" w:hAnsi="Wingdings" w:cs="Wingdings"/>
      </w:rPr>
    </w:lvl>
    <w:lvl w:ilvl="6" w:tentative="0">
      <w:start w:val="1"/>
      <w:numFmt w:val="bullet"/>
      <w:lvlText w:val=""/>
      <w:lvlJc w:val="left"/>
      <w:pPr>
        <w:ind w:left="3060" w:hanging="420"/>
      </w:pPr>
      <w:rPr>
        <w:rFonts w:hint="default" w:ascii="Wingdings" w:hAnsi="Wingdings" w:cs="Wingdings"/>
      </w:rPr>
    </w:lvl>
    <w:lvl w:ilvl="7" w:tentative="0">
      <w:start w:val="1"/>
      <w:numFmt w:val="bullet"/>
      <w:lvlText w:val=""/>
      <w:lvlJc w:val="left"/>
      <w:pPr>
        <w:ind w:left="3480" w:hanging="420"/>
      </w:pPr>
      <w:rPr>
        <w:rFonts w:hint="default" w:ascii="Wingdings" w:hAnsi="Wingdings" w:cs="Wingdings"/>
      </w:rPr>
    </w:lvl>
    <w:lvl w:ilvl="8" w:tentative="0">
      <w:start w:val="1"/>
      <w:numFmt w:val="bullet"/>
      <w:lvlText w:val=""/>
      <w:lvlJc w:val="left"/>
      <w:pPr>
        <w:ind w:left="3900" w:hanging="420"/>
      </w:pPr>
      <w:rPr>
        <w:rFonts w:hint="default" w:ascii="Wingdings" w:hAnsi="Wingdings" w:cs="Wingdings"/>
      </w:rPr>
    </w:lvl>
  </w:abstractNum>
  <w:abstractNum w:abstractNumId="18">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19">
    <w:nsid w:val="3D48FCBA"/>
    <w:multiLevelType w:val="singleLevel"/>
    <w:tmpl w:val="3D48FCBA"/>
    <w:lvl w:ilvl="0" w:tentative="0">
      <w:start w:val="1"/>
      <w:numFmt w:val="bullet"/>
      <w:lvlText w:val="•"/>
      <w:lvlJc w:val="left"/>
      <w:pPr>
        <w:ind w:left="420" w:hanging="420"/>
      </w:pPr>
      <w:rPr>
        <w:rFonts w:hint="default" w:ascii="Arial" w:hAnsi="Arial" w:cs="Arial"/>
      </w:rPr>
    </w:lvl>
  </w:abstractNum>
  <w:abstractNum w:abstractNumId="20">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21">
    <w:nsid w:val="4AFFD851"/>
    <w:multiLevelType w:val="multilevel"/>
    <w:tmpl w:val="4AFFD851"/>
    <w:lvl w:ilvl="0" w:tentative="0">
      <w:start w:val="1"/>
      <w:numFmt w:val="bullet"/>
      <w:lvlText w:val="▫"/>
      <w:lvlJc w:val="left"/>
      <w:pPr>
        <w:tabs>
          <w:tab w:val="left" w:pos="420"/>
        </w:tabs>
        <w:ind w:left="840" w:hanging="420"/>
      </w:pPr>
      <w:rPr>
        <w:rFonts w:hint="default" w:ascii="Arial" w:hAnsi="Arial" w:cs="Arial"/>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2">
    <w:nsid w:val="4F571D4C"/>
    <w:multiLevelType w:val="singleLevel"/>
    <w:tmpl w:val="4F571D4C"/>
    <w:lvl w:ilvl="0" w:tentative="0">
      <w:start w:val="1"/>
      <w:numFmt w:val="bullet"/>
      <w:lvlText w:val="•"/>
      <w:lvlJc w:val="left"/>
      <w:pPr>
        <w:ind w:left="420" w:hanging="420"/>
      </w:pPr>
      <w:rPr>
        <w:rFonts w:hint="default" w:ascii="Arial" w:hAnsi="Arial" w:cs="Arial"/>
      </w:rPr>
    </w:lvl>
  </w:abstractNum>
  <w:abstractNum w:abstractNumId="23">
    <w:nsid w:val="54713D2C"/>
    <w:multiLevelType w:val="singleLevel"/>
    <w:tmpl w:val="54713D2C"/>
    <w:lvl w:ilvl="0" w:tentative="0">
      <w:start w:val="1"/>
      <w:numFmt w:val="bullet"/>
      <w:pStyle w:val="27"/>
      <w:lvlText w:val="•"/>
      <w:lvlJc w:val="left"/>
      <w:pPr>
        <w:ind w:left="420" w:hanging="420"/>
      </w:pPr>
      <w:rPr>
        <w:rFonts w:hint="default" w:ascii="Arial" w:hAnsi="Arial" w:cs="Arial"/>
      </w:rPr>
    </w:lvl>
  </w:abstractNum>
  <w:abstractNum w:abstractNumId="24">
    <w:nsid w:val="5D763755"/>
    <w:multiLevelType w:val="multilevel"/>
    <w:tmpl w:val="5D763755"/>
    <w:lvl w:ilvl="0" w:tentative="0">
      <w:start w:val="1"/>
      <w:numFmt w:val="decimal"/>
      <w:pStyle w:val="23"/>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FED5432"/>
    <w:multiLevelType w:val="multilevel"/>
    <w:tmpl w:val="5FED5432"/>
    <w:lvl w:ilvl="0" w:tentative="0">
      <w:start w:val="0"/>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0110F9F"/>
    <w:multiLevelType w:val="multilevel"/>
    <w:tmpl w:val="70110F9F"/>
    <w:lvl w:ilvl="0" w:tentative="0">
      <w:start w:val="1"/>
      <w:numFmt w:val="decimal"/>
      <w:pStyle w:val="25"/>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27">
    <w:nsid w:val="70146DC0"/>
    <w:multiLevelType w:val="multilevel"/>
    <w:tmpl w:val="70146DC0"/>
    <w:lvl w:ilvl="0" w:tentative="0">
      <w:start w:val="1"/>
      <w:numFmt w:val="bullet"/>
      <w:pStyle w:val="50"/>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28">
    <w:nsid w:val="784C60AC"/>
    <w:multiLevelType w:val="multilevel"/>
    <w:tmpl w:val="784C60AC"/>
    <w:lvl w:ilvl="0" w:tentative="0">
      <w:start w:val="1"/>
      <w:numFmt w:val="decimal"/>
      <w:lvlText w:val="Proposal %1:"/>
      <w:lvlJc w:val="left"/>
      <w:pPr>
        <w:ind w:left="8217" w:hanging="420"/>
      </w:pPr>
      <w:rPr>
        <w:rFonts w:hint="eastAsia" w:ascii="宋体" w:hAnsi="宋体" w:eastAsia="宋体"/>
        <w:b/>
        <w:i w:val="0"/>
      </w:rPr>
    </w:lvl>
    <w:lvl w:ilvl="1" w:tentative="0">
      <w:start w:val="1"/>
      <w:numFmt w:val="lowerLetter"/>
      <w:lvlText w:val="%2)"/>
      <w:lvlJc w:val="left"/>
      <w:pPr>
        <w:ind w:left="840" w:hanging="420"/>
      </w:pPr>
      <w:rPr>
        <w:rFonts w:hint="default" w:ascii="Times New Roman" w:hAnsi="Times New Roman" w:cs="Times New Roman"/>
      </w:rPr>
    </w:lvl>
    <w:lvl w:ilvl="2" w:tentative="0">
      <w:start w:val="0"/>
      <w:numFmt w:val="bullet"/>
      <w:lvlText w:val="-"/>
      <w:lvlJc w:val="left"/>
      <w:pPr>
        <w:ind w:left="1200" w:hanging="360"/>
      </w:pPr>
      <w:rPr>
        <w:rFonts w:hint="default" w:ascii="Times New Roman" w:hAnsi="Times New Roman" w:eastAsia="宋体" w:cs="Times New Roman"/>
      </w:rPr>
    </w:lvl>
    <w:lvl w:ilvl="3" w:tentative="0">
      <w:start w:val="0"/>
      <w:numFmt w:val="bullet"/>
      <w:lvlText w:val="-"/>
      <w:lvlJc w:val="left"/>
      <w:pPr>
        <w:ind w:left="1620" w:hanging="360"/>
      </w:pPr>
      <w:rPr>
        <w:rFonts w:hint="default" w:ascii="Times New Roman" w:hAnsi="Times New Roman" w:eastAsia="宋体"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9">
    <w:nsid w:val="7E1A6C64"/>
    <w:multiLevelType w:val="multilevel"/>
    <w:tmpl w:val="7E1A6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0"/>
  </w:num>
  <w:num w:numId="2">
    <w:abstractNumId w:val="1"/>
  </w:num>
  <w:num w:numId="3">
    <w:abstractNumId w:val="24"/>
  </w:num>
  <w:num w:numId="4">
    <w:abstractNumId w:val="26"/>
  </w:num>
  <w:num w:numId="5">
    <w:abstractNumId w:val="0"/>
  </w:num>
  <w:num w:numId="6">
    <w:abstractNumId w:val="23"/>
  </w:num>
  <w:num w:numId="7">
    <w:abstractNumId w:val="12"/>
  </w:num>
  <w:num w:numId="8">
    <w:abstractNumId w:val="10"/>
  </w:num>
  <w:num w:numId="9">
    <w:abstractNumId w:val="18"/>
  </w:num>
  <w:num w:numId="10">
    <w:abstractNumId w:val="13"/>
  </w:num>
  <w:num w:numId="11">
    <w:abstractNumId w:val="27"/>
  </w:num>
  <w:num w:numId="12">
    <w:abstractNumId w:val="3"/>
  </w:num>
  <w:num w:numId="13">
    <w:abstractNumId w:val="19"/>
  </w:num>
  <w:num w:numId="14">
    <w:abstractNumId w:val="22"/>
  </w:num>
  <w:num w:numId="15">
    <w:abstractNumId w:val="15"/>
  </w:num>
  <w:num w:numId="16">
    <w:abstractNumId w:val="5"/>
  </w:num>
  <w:num w:numId="17">
    <w:abstractNumId w:val="11"/>
  </w:num>
  <w:num w:numId="18">
    <w:abstractNumId w:val="21"/>
  </w:num>
  <w:num w:numId="19">
    <w:abstractNumId w:val="16"/>
  </w:num>
  <w:num w:numId="20">
    <w:abstractNumId w:val="29"/>
  </w:num>
  <w:num w:numId="21">
    <w:abstractNumId w:val="8"/>
  </w:num>
  <w:num w:numId="22">
    <w:abstractNumId w:val="7"/>
  </w:num>
  <w:num w:numId="23">
    <w:abstractNumId w:val="6"/>
  </w:num>
  <w:num w:numId="24">
    <w:abstractNumId w:val="17"/>
  </w:num>
  <w:num w:numId="25">
    <w:abstractNumId w:val="2"/>
  </w:num>
  <w:num w:numId="26">
    <w:abstractNumId w:val="28"/>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5"/>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4B96"/>
    <w:rsid w:val="00053593"/>
    <w:rsid w:val="000829B2"/>
    <w:rsid w:val="000B1599"/>
    <w:rsid w:val="000B2C1E"/>
    <w:rsid w:val="000D65FC"/>
    <w:rsid w:val="00171C2E"/>
    <w:rsid w:val="00172A27"/>
    <w:rsid w:val="001768FE"/>
    <w:rsid w:val="00187321"/>
    <w:rsid w:val="00193046"/>
    <w:rsid w:val="001A2BEB"/>
    <w:rsid w:val="001B502E"/>
    <w:rsid w:val="002376AE"/>
    <w:rsid w:val="00283AC3"/>
    <w:rsid w:val="002B3874"/>
    <w:rsid w:val="002C0735"/>
    <w:rsid w:val="002E478D"/>
    <w:rsid w:val="002E5E77"/>
    <w:rsid w:val="00301063"/>
    <w:rsid w:val="003161BA"/>
    <w:rsid w:val="00324214"/>
    <w:rsid w:val="00335993"/>
    <w:rsid w:val="00355768"/>
    <w:rsid w:val="00376B17"/>
    <w:rsid w:val="00385770"/>
    <w:rsid w:val="00395F21"/>
    <w:rsid w:val="003A6BA5"/>
    <w:rsid w:val="003C0B54"/>
    <w:rsid w:val="003D17AE"/>
    <w:rsid w:val="00404DA5"/>
    <w:rsid w:val="004100E3"/>
    <w:rsid w:val="00422D64"/>
    <w:rsid w:val="004304ED"/>
    <w:rsid w:val="00475B67"/>
    <w:rsid w:val="00525E65"/>
    <w:rsid w:val="005317CA"/>
    <w:rsid w:val="00534212"/>
    <w:rsid w:val="00572097"/>
    <w:rsid w:val="0057368E"/>
    <w:rsid w:val="00580813"/>
    <w:rsid w:val="0059672B"/>
    <w:rsid w:val="005B065E"/>
    <w:rsid w:val="005F7B99"/>
    <w:rsid w:val="006144B4"/>
    <w:rsid w:val="00630BC2"/>
    <w:rsid w:val="006807E6"/>
    <w:rsid w:val="006F26CE"/>
    <w:rsid w:val="00724E53"/>
    <w:rsid w:val="007E7A15"/>
    <w:rsid w:val="00820E09"/>
    <w:rsid w:val="008212F1"/>
    <w:rsid w:val="0086109C"/>
    <w:rsid w:val="00885FE5"/>
    <w:rsid w:val="00890F3B"/>
    <w:rsid w:val="008B5FA9"/>
    <w:rsid w:val="008F30BC"/>
    <w:rsid w:val="008F3CF6"/>
    <w:rsid w:val="009141DD"/>
    <w:rsid w:val="009401EC"/>
    <w:rsid w:val="00945B44"/>
    <w:rsid w:val="00954A8B"/>
    <w:rsid w:val="0096044C"/>
    <w:rsid w:val="009A704B"/>
    <w:rsid w:val="009D3B70"/>
    <w:rsid w:val="009F756D"/>
    <w:rsid w:val="00A137A4"/>
    <w:rsid w:val="00A25CEE"/>
    <w:rsid w:val="00A37B97"/>
    <w:rsid w:val="00A40102"/>
    <w:rsid w:val="00A41C84"/>
    <w:rsid w:val="00A50086"/>
    <w:rsid w:val="00A5717C"/>
    <w:rsid w:val="00A777FD"/>
    <w:rsid w:val="00A9766A"/>
    <w:rsid w:val="00AB67B2"/>
    <w:rsid w:val="00AC4CB5"/>
    <w:rsid w:val="00AD6794"/>
    <w:rsid w:val="00AE0D6E"/>
    <w:rsid w:val="00B03CE5"/>
    <w:rsid w:val="00B056D9"/>
    <w:rsid w:val="00B14503"/>
    <w:rsid w:val="00B23BAD"/>
    <w:rsid w:val="00B428B5"/>
    <w:rsid w:val="00B66CB1"/>
    <w:rsid w:val="00B764C8"/>
    <w:rsid w:val="00BB0B7F"/>
    <w:rsid w:val="00BB6518"/>
    <w:rsid w:val="00C6294E"/>
    <w:rsid w:val="00CB6631"/>
    <w:rsid w:val="00CE2B6B"/>
    <w:rsid w:val="00D20EC2"/>
    <w:rsid w:val="00D316E9"/>
    <w:rsid w:val="00D35B96"/>
    <w:rsid w:val="00D44606"/>
    <w:rsid w:val="00D71DA7"/>
    <w:rsid w:val="00D83525"/>
    <w:rsid w:val="00D85113"/>
    <w:rsid w:val="00DA7FC2"/>
    <w:rsid w:val="00DD5091"/>
    <w:rsid w:val="00DE79EC"/>
    <w:rsid w:val="00DF0709"/>
    <w:rsid w:val="00DF75DB"/>
    <w:rsid w:val="00E35DE6"/>
    <w:rsid w:val="00E479BD"/>
    <w:rsid w:val="00E74F94"/>
    <w:rsid w:val="00EA2F70"/>
    <w:rsid w:val="00EA5E9B"/>
    <w:rsid w:val="00EB7B8C"/>
    <w:rsid w:val="00EE5F9D"/>
    <w:rsid w:val="00F509E9"/>
    <w:rsid w:val="00F65BA8"/>
    <w:rsid w:val="00FC6E1D"/>
    <w:rsid w:val="00FD2DE4"/>
    <w:rsid w:val="00FE287B"/>
    <w:rsid w:val="00FE3A28"/>
    <w:rsid w:val="00FF38B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6"/>
    <w:basedOn w:val="1"/>
    <w:next w:val="1"/>
    <w:link w:val="52"/>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7">
    <w:name w:val="toc 3"/>
    <w:basedOn w:val="1"/>
    <w:next w:val="1"/>
    <w:link w:val="41"/>
    <w:unhideWhenUsed/>
    <w:qFormat/>
    <w:uiPriority w:val="39"/>
    <w:pPr>
      <w:ind w:left="880" w:leftChars="400"/>
    </w:pPr>
    <w:rPr>
      <w:b/>
      <w:i/>
    </w:rPr>
  </w:style>
  <w:style w:type="paragraph" w:styleId="8">
    <w:name w:val="Balloon Text"/>
    <w:basedOn w:val="1"/>
    <w:link w:val="21"/>
    <w:semiHidden/>
    <w:unhideWhenUsed/>
    <w:qFormat/>
    <w:uiPriority w:val="99"/>
    <w:rPr>
      <w:sz w:val="18"/>
      <w:szCs w:val="18"/>
    </w:rPr>
  </w:style>
  <w:style w:type="paragraph" w:styleId="9">
    <w:name w:val="footer"/>
    <w:basedOn w:val="1"/>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0">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1">
    <w:name w:val="toc 1"/>
    <w:basedOn w:val="1"/>
    <w:next w:val="1"/>
    <w:link w:val="35"/>
    <w:unhideWhenUsed/>
    <w:qFormat/>
    <w:uiPriority w:val="39"/>
    <w:rPr>
      <w:b/>
      <w:i/>
    </w:rPr>
  </w:style>
  <w:style w:type="paragraph" w:styleId="12">
    <w:name w:val="table of figures"/>
    <w:basedOn w:val="1"/>
    <w:next w:val="1"/>
    <w:semiHidden/>
    <w:unhideWhenUsed/>
    <w:qFormat/>
    <w:uiPriority w:val="99"/>
    <w:pPr>
      <w:ind w:left="200" w:leftChars="200" w:hanging="200" w:hangingChars="200"/>
    </w:pPr>
  </w:style>
  <w:style w:type="paragraph" w:styleId="13">
    <w:name w:val="toc 2"/>
    <w:basedOn w:val="1"/>
    <w:next w:val="1"/>
    <w:link w:val="38"/>
    <w:unhideWhenUsed/>
    <w:qFormat/>
    <w:uiPriority w:val="39"/>
    <w:pPr>
      <w:snapToGrid w:val="0"/>
      <w:ind w:left="618" w:leftChars="200"/>
    </w:pPr>
    <w:rPr>
      <w:b/>
      <w:i/>
    </w:rPr>
  </w:style>
  <w:style w:type="paragraph" w:styleId="14">
    <w:name w:val="Normal (Web)"/>
    <w:unhideWhenUsed/>
    <w:qFormat/>
    <w:uiPriority w:val="99"/>
    <w:rPr>
      <w:rFonts w:ascii="Times New Roman" w:hAnsi="Times New Roman" w:eastAsia="宋体" w:cs="Times New Roman"/>
      <w:sz w:val="24"/>
      <w:lang w:val="en-GB" w:eastAsia="en-US" w:bidi="ar-SA"/>
    </w:rPr>
  </w:style>
  <w:style w:type="table" w:styleId="16">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8">
    <w:name w:val="page number"/>
    <w:basedOn w:val="17"/>
    <w:semiHidden/>
    <w:qFormat/>
    <w:uiPriority w:val="0"/>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qFormat/>
    <w:uiPriority w:val="0"/>
    <w:rPr>
      <w:sz w:val="16"/>
      <w:szCs w:val="16"/>
    </w:rPr>
  </w:style>
  <w:style w:type="character" w:customStyle="1" w:styleId="21">
    <w:name w:val="批注框文本 字符"/>
    <w:basedOn w:val="17"/>
    <w:link w:val="8"/>
    <w:semiHidden/>
    <w:qFormat/>
    <w:uiPriority w:val="99"/>
    <w:rPr>
      <w:rFonts w:eastAsia="Times New Roman"/>
      <w:kern w:val="2"/>
      <w:sz w:val="18"/>
      <w:szCs w:val="18"/>
    </w:rPr>
  </w:style>
  <w:style w:type="paragraph" w:customStyle="1" w:styleId="22">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3">
    <w:name w:val="!ZTE-Proposal-2021 + 段前: 0.5 行 段后: 0.5 行"/>
    <w:basedOn w:val="1"/>
    <w:qFormat/>
    <w:uiPriority w:val="0"/>
    <w:pPr>
      <w:numPr>
        <w:ilvl w:val="0"/>
        <w:numId w:val="3"/>
      </w:numPr>
      <w:spacing w:before="30" w:beforeLines="30" w:after="30" w:afterLines="30" w:line="288" w:lineRule="auto"/>
      <w:jc w:val="left"/>
    </w:pPr>
    <w:rPr>
      <w:rFonts w:cs="宋体" w:eastAsiaTheme="minorEastAsia"/>
      <w:b/>
      <w:bCs/>
      <w:i/>
      <w:iCs/>
      <w:lang w:val="en-GB"/>
    </w:rPr>
  </w:style>
  <w:style w:type="paragraph" w:customStyle="1" w:styleId="24">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5">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6">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7">
    <w:name w:val="sub-observation"/>
    <w:basedOn w:val="26"/>
    <w:qFormat/>
    <w:uiPriority w:val="0"/>
    <w:pPr>
      <w:numPr>
        <w:ilvl w:val="0"/>
        <w:numId w:val="6"/>
      </w:numPr>
      <w:ind w:left="0" w:firstLine="0"/>
    </w:pPr>
    <w:rPr>
      <w:rFonts w:eastAsia="宋体"/>
    </w:rPr>
  </w:style>
  <w:style w:type="paragraph" w:customStyle="1" w:styleId="28">
    <w:name w:val="3rd level proposal"/>
    <w:basedOn w:val="26"/>
    <w:qFormat/>
    <w:uiPriority w:val="0"/>
    <w:pPr>
      <w:numPr>
        <w:ilvl w:val="0"/>
        <w:numId w:val="7"/>
      </w:numPr>
      <w:ind w:left="627" w:leftChars="200" w:firstLine="0"/>
    </w:pPr>
  </w:style>
  <w:style w:type="paragraph" w:customStyle="1" w:styleId="29">
    <w:name w:val="3rd level observation"/>
    <w:basedOn w:val="27"/>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0">
    <w:name w:val="References"/>
    <w:basedOn w:val="1"/>
    <w:qFormat/>
    <w:uiPriority w:val="0"/>
    <w:pPr>
      <w:numPr>
        <w:ilvl w:val="0"/>
        <w:numId w:val="9"/>
      </w:numPr>
      <w:spacing w:after="60"/>
    </w:pPr>
    <w:rPr>
      <w:szCs w:val="16"/>
    </w:rPr>
  </w:style>
  <w:style w:type="paragraph" w:styleId="31">
    <w:name w:val="List Paragraph"/>
    <w:basedOn w:val="1"/>
    <w:qFormat/>
    <w:uiPriority w:val="34"/>
    <w:pPr>
      <w:spacing w:beforeLines="0"/>
      <w:ind w:left="720"/>
      <w:contextualSpacing/>
    </w:pPr>
    <w:rPr>
      <w:sz w:val="24"/>
      <w:szCs w:val="24"/>
    </w:rPr>
  </w:style>
  <w:style w:type="character" w:customStyle="1" w:styleId="32">
    <w:name w:val="页眉 字符"/>
    <w:basedOn w:val="17"/>
    <w:link w:val="10"/>
    <w:qFormat/>
    <w:uiPriority w:val="99"/>
    <w:rPr>
      <w:rFonts w:eastAsia="Times New Roman"/>
      <w:kern w:val="2"/>
      <w:sz w:val="18"/>
      <w:szCs w:val="18"/>
    </w:rPr>
  </w:style>
  <w:style w:type="paragraph" w:customStyle="1" w:styleId="33">
    <w:name w:val="ZTE-C-proposal"/>
    <w:basedOn w:val="11"/>
    <w:link w:val="36"/>
    <w:qFormat/>
    <w:uiPriority w:val="0"/>
    <w:pPr>
      <w:spacing w:before="120" w:after="120"/>
      <w:ind w:left="1104" w:hanging="1104" w:hangingChars="550"/>
    </w:pPr>
  </w:style>
  <w:style w:type="paragraph" w:customStyle="1" w:styleId="34">
    <w:name w:val="ZTE-C-subProposal"/>
    <w:basedOn w:val="13"/>
    <w:link w:val="39"/>
    <w:qFormat/>
    <w:uiPriority w:val="0"/>
    <w:pPr>
      <w:tabs>
        <w:tab w:val="left" w:pos="993"/>
        <w:tab w:val="right" w:leader="dot" w:pos="9650"/>
      </w:tabs>
      <w:spacing w:before="120" w:after="120"/>
      <w:ind w:left="708" w:leftChars="354"/>
    </w:pPr>
  </w:style>
  <w:style w:type="character" w:customStyle="1" w:styleId="35">
    <w:name w:val="TOC 1 字符"/>
    <w:basedOn w:val="17"/>
    <w:link w:val="11"/>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7"/>
    <w:link w:val="42"/>
    <w:qFormat/>
    <w:uiPriority w:val="0"/>
    <w:pPr>
      <w:tabs>
        <w:tab w:val="left" w:pos="1276"/>
        <w:tab w:val="right" w:leader="dot" w:pos="9650"/>
      </w:tabs>
      <w:spacing w:before="120" w:after="120"/>
      <w:ind w:left="1134" w:leftChars="567"/>
    </w:pPr>
  </w:style>
  <w:style w:type="character" w:customStyle="1" w:styleId="38">
    <w:name w:val="TOC 2 字符"/>
    <w:basedOn w:val="17"/>
    <w:link w:val="13"/>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1"/>
    <w:link w:val="44"/>
    <w:qFormat/>
    <w:uiPriority w:val="0"/>
    <w:pPr>
      <w:tabs>
        <w:tab w:val="left" w:pos="1470"/>
        <w:tab w:val="right" w:pos="9650"/>
      </w:tabs>
      <w:spacing w:before="120" w:after="120"/>
      <w:ind w:left="1273" w:hanging="1273" w:hangingChars="634"/>
    </w:pPr>
  </w:style>
  <w:style w:type="character" w:customStyle="1" w:styleId="41">
    <w:name w:val="TOC 3 字符"/>
    <w:basedOn w:val="17"/>
    <w:link w:val="7"/>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3"/>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7"/>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字符"/>
    <w:basedOn w:val="17"/>
    <w:link w:val="9"/>
    <w:qFormat/>
    <w:uiPriority w:val="99"/>
    <w:rPr>
      <w:rFonts w:eastAsia="Times New Roman"/>
      <w:kern w:val="2"/>
      <w:sz w:val="18"/>
      <w:szCs w:val="18"/>
    </w:rPr>
  </w:style>
  <w:style w:type="paragraph" w:customStyle="1" w:styleId="49">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0">
    <w:name w:val="Agreement"/>
    <w:basedOn w:val="1"/>
    <w:next w:val="51"/>
    <w:qFormat/>
    <w:uiPriority w:val="99"/>
    <w:pPr>
      <w:numPr>
        <w:ilvl w:val="0"/>
        <w:numId w:val="11"/>
      </w:numPr>
      <w:tabs>
        <w:tab w:val="left" w:pos="1619"/>
        <w:tab w:val="clear" w:pos="359"/>
      </w:tabs>
      <w:spacing w:before="60"/>
    </w:pPr>
    <w:rPr>
      <w:b/>
    </w:rPr>
  </w:style>
  <w:style w:type="paragraph" w:customStyle="1" w:styleId="51">
    <w:name w:val="Doc-text2"/>
    <w:basedOn w:val="1"/>
    <w:qFormat/>
    <w:uiPriority w:val="0"/>
    <w:pPr>
      <w:tabs>
        <w:tab w:val="left" w:pos="1622"/>
      </w:tabs>
      <w:ind w:left="1622" w:hanging="363"/>
    </w:pPr>
  </w:style>
  <w:style w:type="character" w:customStyle="1" w:styleId="52">
    <w:name w:val="标题 6 字符"/>
    <w:basedOn w:val="17"/>
    <w:link w:val="5"/>
    <w:semiHidden/>
    <w:qFormat/>
    <w:uiPriority w:val="99"/>
    <w:rPr>
      <w:rFonts w:asciiTheme="majorHAnsi" w:hAnsiTheme="majorHAnsi" w:eastAsiaTheme="majorEastAsia" w:cstheme="majorBidi"/>
      <w:b/>
      <w:bCs/>
      <w:kern w:val="2"/>
      <w:sz w:val="24"/>
      <w:szCs w:val="24"/>
    </w:rPr>
  </w:style>
  <w:style w:type="paragraph" w:customStyle="1" w:styleId="53">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4">
    <w:name w:val="网格型浅色1"/>
    <w:basedOn w:val="15"/>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130323-F1EE-4C31-A3C9-670479B4EA3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27</Pages>
  <Words>11488</Words>
  <Characters>65488</Characters>
  <Lines>545</Lines>
  <Paragraphs>153</Paragraphs>
  <TotalTime>2</TotalTime>
  <ScaleCrop>false</ScaleCrop>
  <LinksUpToDate>false</LinksUpToDate>
  <CharactersWithSpaces>76823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 Guozeng</cp:lastModifiedBy>
  <dcterms:modified xsi:type="dcterms:W3CDTF">2023-05-15T07:10:37Z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